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78126" w14:textId="77777777" w:rsidR="00BB3344" w:rsidRDefault="00D63D61">
      <w:pPr>
        <w:rPr>
          <w:b/>
          <w:u w:val="single"/>
        </w:rPr>
      </w:pPr>
      <w:r>
        <w:t xml:space="preserve">       </w:t>
      </w:r>
      <w:r w:rsidRPr="00D63D61">
        <w:rPr>
          <w:b/>
          <w:u w:val="single"/>
        </w:rPr>
        <w:t>NIGERIA STRATEGY FOR IMMUNISATION AND PHC SYSTEM STRENGTHENING [NSIPSS]</w:t>
      </w:r>
    </w:p>
    <w:p w14:paraId="26A280D9" w14:textId="77777777" w:rsidR="00D63D61" w:rsidRDefault="00D63D61">
      <w:pPr>
        <w:rPr>
          <w:b/>
          <w:u w:val="single"/>
        </w:rPr>
      </w:pPr>
    </w:p>
    <w:p w14:paraId="4335C9FE" w14:textId="77777777" w:rsidR="00D63D61" w:rsidRDefault="00D63D61">
      <w:r w:rsidRPr="00D63D61">
        <w:rPr>
          <w:b/>
        </w:rPr>
        <w:t xml:space="preserve">                                                             </w:t>
      </w:r>
      <w:r w:rsidR="00311C11">
        <w:rPr>
          <w:b/>
        </w:rPr>
        <w:t xml:space="preserve">      </w:t>
      </w:r>
      <w:r w:rsidRPr="00D63D61">
        <w:rPr>
          <w:b/>
        </w:rPr>
        <w:t xml:space="preserve"> </w:t>
      </w:r>
      <w:r w:rsidRPr="00D63D61">
        <w:rPr>
          <w:b/>
          <w:u w:val="single"/>
        </w:rPr>
        <w:t>INTRODUCTION</w:t>
      </w:r>
      <w:r>
        <w:rPr>
          <w:b/>
          <w:u w:val="single"/>
        </w:rPr>
        <w:t xml:space="preserve"> </w:t>
      </w:r>
    </w:p>
    <w:p w14:paraId="0192E1DB" w14:textId="2ED4580E" w:rsidR="00D63D61" w:rsidRDefault="00D63D61" w:rsidP="00D63D61">
      <w:r w:rsidRPr="00D63D61">
        <w:t>The Government of Nigeria in collaboration with partners and donors developed the Nigeria Strategy for Immunization and PHC System Strengthening (NSIPSS) to guide and galvanize efforts aimed at achieving sustainable immunization outcomes and strengthening the primary healthcare system. This strategy document describes the programmatic decisions that have been made by Nigeria and outlines how the program will be managed and financed. It presents the country’s plan for transitioning to financial ownership of the immunization and primary health care health system over a ten-year period, from 2018-2028 – in line with Nigeria’s proposed timeline for graduating from Gavi</w:t>
      </w:r>
      <w:r w:rsidR="00921347">
        <w:t xml:space="preserve"> alliance</w:t>
      </w:r>
      <w:r w:rsidRPr="00D63D61">
        <w:t xml:space="preserve"> support. It further lays out potential areas of support from Gavi</w:t>
      </w:r>
      <w:r w:rsidR="00921347">
        <w:t xml:space="preserve"> alliance</w:t>
      </w:r>
      <w:r w:rsidRPr="00D63D61">
        <w:t xml:space="preserve"> during the transition. Although Nigeria is one of the largest recipients of GAVI grants in Africa having received ~ US$770 million and US$707 million in approvals and disbursements respectively from 2001 to June 2017, the relationship between the Nigeria and Gavi </w:t>
      </w:r>
      <w:r w:rsidR="00921347">
        <w:t xml:space="preserve">alliance </w:t>
      </w:r>
      <w:r w:rsidRPr="00D63D61">
        <w:t>continues to be an important and valuable partnership, with the goal of reaching those millions of children whose lives can be saved by immunization.</w:t>
      </w:r>
    </w:p>
    <w:p w14:paraId="7AEF3418" w14:textId="77777777" w:rsidR="00D63D61" w:rsidRDefault="00311C11" w:rsidP="00311C11">
      <w:r w:rsidRPr="00311C11">
        <w:t>Additionally, it is also important to consider that routine immunization is a public health emergency in Nigeria with over 4.3 million unimmunized children – the country with the highest number of unimmunized children in the world – more than a quarter of all unimmunized children globally. After Gavi’s huge investment in the past, the country has finally been making demonstrable progress towards reaching them, but this progress will inevitably be threatened if Nigeria must remain within the agreement previously discussed. Gains will undoubtedly be reversed, with a lot of lives lost. Routine immunization in Nigeria is projected to save millions of lives over the period from 2018 to 2028. Underperformance in this area for Nigeria can thus only be counted in the hundreds of thousands. This is a sobering reflection for the government of Nigeria, whose primary responsibility this is, and will of course also be for Gavi.</w:t>
      </w:r>
    </w:p>
    <w:p w14:paraId="45AE7CFF" w14:textId="053DCC54" w:rsidR="00311C11" w:rsidRDefault="00311C11" w:rsidP="00311C11">
      <w:r w:rsidRPr="00311C11">
        <w:t xml:space="preserve">The NSIPSS builds on progress that has already been made in recent times and also on strategies that have the best potentials to achieve sustainable immunization coverage, within the Nigerian context. While coverage has not moved forward in the last five years looking at survey data, some critical elements of the system have clearly demonstrated measurable improvements. There has been a heavy focus on </w:t>
      </w:r>
      <w:r w:rsidR="0084320C">
        <w:t xml:space="preserve">the </w:t>
      </w:r>
      <w:r w:rsidRPr="00311C11">
        <w:t xml:space="preserve">supply chain, and after a coordinated push from the National Emergency Routine Immunization Coordinating </w:t>
      </w:r>
      <w:proofErr w:type="gramStart"/>
      <w:r w:rsidRPr="00311C11">
        <w:t>Centre(</w:t>
      </w:r>
      <w:proofErr w:type="gramEnd"/>
      <w:r w:rsidRPr="00311C11">
        <w:t>NERICC), vaccine availability at LGA level – the last level before facility – improved from ~30% in 2014 to ~80% today. This is a remarkable improvement in performance and is a pre-requisite to any realistic chance of a change in coverage. Now that vaccines are actually available at states and LGAs, 26 states (in addition to 8 already implementing) have also signed up to a program of direct vaccine delivery to health facilities, replacing the old ad-hoc collection system, which largely involved out of pocket payment by healthcare workers. This strategy ensures vaccines get to the health facili</w:t>
      </w:r>
      <w:r w:rsidR="00921347">
        <w:t>ty.</w:t>
      </w:r>
    </w:p>
    <w:p w14:paraId="51FE26D1" w14:textId="77777777" w:rsidR="0084320C" w:rsidRDefault="00921347" w:rsidP="00311C11">
      <w:r>
        <w:t xml:space="preserve">                                                            </w:t>
      </w:r>
    </w:p>
    <w:p w14:paraId="63C7AC6C" w14:textId="77777777" w:rsidR="0084320C" w:rsidRDefault="0084320C" w:rsidP="00311C11"/>
    <w:p w14:paraId="5DA7CE0D" w14:textId="77777777" w:rsidR="0084320C" w:rsidRDefault="0084320C" w:rsidP="00311C11"/>
    <w:p w14:paraId="1E23F426" w14:textId="51DCE009" w:rsidR="00921347" w:rsidRDefault="0084320C" w:rsidP="00311C11">
      <w:pPr>
        <w:rPr>
          <w:b/>
          <w:u w:val="single"/>
        </w:rPr>
      </w:pPr>
      <w:r>
        <w:lastRenderedPageBreak/>
        <w:t xml:space="preserve">                                                                          </w:t>
      </w:r>
      <w:r w:rsidR="00921347">
        <w:t xml:space="preserve">    </w:t>
      </w:r>
      <w:r w:rsidR="00921347" w:rsidRPr="00921347">
        <w:rPr>
          <w:b/>
          <w:u w:val="single"/>
        </w:rPr>
        <w:t xml:space="preserve">DIAGNOSIS </w:t>
      </w:r>
    </w:p>
    <w:p w14:paraId="645A0F93" w14:textId="0B93BFAC" w:rsidR="00921347" w:rsidRDefault="00921347" w:rsidP="00311C11"/>
    <w:p w14:paraId="3E2CE3DB" w14:textId="427E4D0B" w:rsidR="00595AB8" w:rsidRDefault="00595AB8" w:rsidP="00311C11">
      <w:r w:rsidRPr="00595AB8">
        <w:t xml:space="preserve">In Nigeria, RI data is collected at health facilities, using tally sheets, RI registers and vaccine utilization forms Hard copy paper forms. These are then summarized into the monthly NHMIS, supplementary immunization and vaccine utilization summary forms and submitted to the LGA level for review and entry on to the DHIS2 platform by the LGA M&amp;E officer, LIO, CCO, and RIO as per assigned schedule by the LGA team, on/before 15th of the following month to meet timeliness and within 90days for completeness. The LGA level also makes hard copy summaries and transmits </w:t>
      </w:r>
      <w:r>
        <w:t xml:space="preserve">the </w:t>
      </w:r>
      <w:r w:rsidRPr="00595AB8">
        <w:t>same to the State level. Data electronically entered at the HF level is available to users based on assigned privileges after data entry is marked complete.</w:t>
      </w:r>
    </w:p>
    <w:p w14:paraId="7A24DE4B" w14:textId="0AAC7F4A" w:rsidR="00595AB8" w:rsidRDefault="00595AB8" w:rsidP="00595AB8">
      <w:r>
        <w:t>In Nigeria, there are monthly technical review meetings at the LGA level (for HFs) and State level (For LGAs) where monthly RI processes and performance are discussed. Feedback is usually provided and action points to be followed agreed upon.</w:t>
      </w:r>
    </w:p>
    <w:p w14:paraId="4C7F2859" w14:textId="169BE99D" w:rsidR="00595AB8" w:rsidRDefault="00595AB8" w:rsidP="00595AB8">
      <w:r>
        <w:t>Routine Immunization Supportive supervision and quarterly DQA/DQS are also conducted with a review of primary data collection tools and summary tools as part of data quality checks.</w:t>
      </w:r>
    </w:p>
    <w:p w14:paraId="1107B5F7" w14:textId="765DFA8F" w:rsidR="00595AB8" w:rsidRDefault="00595AB8" w:rsidP="00311C11">
      <w:r>
        <w:t>If data is wrong, the HF is expected to submit updates. Updates within 90days are easily updated when sent to the LGA level. But updates for data after 90days usually require special approval and communication has to be made for the DHIS2 platform to be enabled to receive such updates.</w:t>
      </w:r>
    </w:p>
    <w:p w14:paraId="5AD6A0C2" w14:textId="77777777" w:rsidR="00595AB8" w:rsidRDefault="00595AB8" w:rsidP="00311C11"/>
    <w:p w14:paraId="6E1455F6" w14:textId="77777777" w:rsidR="00216098" w:rsidRDefault="00216098" w:rsidP="00311C11"/>
    <w:p w14:paraId="1D32BD39" w14:textId="32EA49EB" w:rsidR="00216098" w:rsidRDefault="00216098" w:rsidP="00311C11">
      <w:pPr>
        <w:rPr>
          <w:b/>
        </w:rPr>
      </w:pPr>
      <w:r>
        <w:rPr>
          <w:b/>
        </w:rPr>
        <w:t xml:space="preserve">                                          </w:t>
      </w:r>
      <w:r w:rsidR="00F65C50">
        <w:rPr>
          <w:b/>
        </w:rPr>
        <w:t xml:space="preserve">                </w:t>
      </w:r>
      <w:r>
        <w:rPr>
          <w:b/>
        </w:rPr>
        <w:t xml:space="preserve">  </w:t>
      </w:r>
      <w:r w:rsidR="00595AB8">
        <w:rPr>
          <w:b/>
        </w:rPr>
        <w:t xml:space="preserve">      </w:t>
      </w:r>
      <w:r>
        <w:rPr>
          <w:b/>
        </w:rPr>
        <w:t>SWOT</w:t>
      </w:r>
    </w:p>
    <w:p w14:paraId="3E91FB1D" w14:textId="77777777" w:rsidR="00216098" w:rsidRDefault="00216098" w:rsidP="00311C11">
      <w:pPr>
        <w:rPr>
          <w:b/>
        </w:rPr>
      </w:pPr>
      <w:r>
        <w:rPr>
          <w:b/>
        </w:rPr>
        <w:t xml:space="preserve"> </w:t>
      </w:r>
      <w:r w:rsidRPr="00216098">
        <w:rPr>
          <w:b/>
        </w:rPr>
        <w:t>Program Management</w:t>
      </w:r>
    </w:p>
    <w:p w14:paraId="015B6559" w14:textId="77777777" w:rsidR="00216098" w:rsidRDefault="00216098" w:rsidP="00311C11">
      <w:pPr>
        <w:rPr>
          <w:b/>
        </w:rPr>
      </w:pPr>
      <w:r>
        <w:rPr>
          <w:b/>
        </w:rPr>
        <w:t xml:space="preserve">Strength </w:t>
      </w:r>
    </w:p>
    <w:p w14:paraId="2A4BCAB2" w14:textId="77777777" w:rsidR="00216098" w:rsidRDefault="00216098" w:rsidP="00216098">
      <w:pPr>
        <w:pStyle w:val="Default"/>
        <w:rPr>
          <w:rFonts w:cstheme="minorBidi"/>
          <w:color w:val="auto"/>
        </w:rPr>
      </w:pPr>
    </w:p>
    <w:p w14:paraId="38ABCD75" w14:textId="77777777" w:rsidR="00216098" w:rsidRPr="00F65C50" w:rsidRDefault="00216098" w:rsidP="00216098">
      <w:pPr>
        <w:pStyle w:val="Default"/>
        <w:numPr>
          <w:ilvl w:val="0"/>
          <w:numId w:val="1"/>
        </w:numPr>
        <w:rPr>
          <w:rFonts w:asciiTheme="minorHAnsi" w:hAnsiTheme="minorHAnsi" w:cstheme="minorHAnsi"/>
          <w:sz w:val="22"/>
          <w:szCs w:val="22"/>
        </w:rPr>
      </w:pPr>
      <w:r w:rsidRPr="00F65C50">
        <w:rPr>
          <w:rFonts w:asciiTheme="minorHAnsi" w:hAnsiTheme="minorHAnsi" w:cstheme="minorHAnsi"/>
          <w:sz w:val="22"/>
          <w:szCs w:val="22"/>
        </w:rPr>
        <w:t xml:space="preserve">Availability of legislation (NPI, NPHCDA Act, NHA). Clearly defined roles and responsibilities in NHA </w:t>
      </w:r>
    </w:p>
    <w:p w14:paraId="31F5C8B9" w14:textId="77777777" w:rsidR="00216098" w:rsidRPr="00F65C50" w:rsidRDefault="00216098" w:rsidP="00F65C50">
      <w:pPr>
        <w:pStyle w:val="Default"/>
        <w:numPr>
          <w:ilvl w:val="0"/>
          <w:numId w:val="1"/>
        </w:numPr>
        <w:rPr>
          <w:rFonts w:asciiTheme="minorHAnsi" w:hAnsiTheme="minorHAnsi" w:cstheme="minorHAnsi"/>
          <w:sz w:val="22"/>
          <w:szCs w:val="22"/>
        </w:rPr>
      </w:pPr>
      <w:r w:rsidRPr="00F65C50">
        <w:rPr>
          <w:rFonts w:asciiTheme="minorHAnsi" w:hAnsiTheme="minorHAnsi" w:cstheme="minorHAnsi"/>
          <w:sz w:val="22"/>
          <w:szCs w:val="22"/>
        </w:rPr>
        <w:t xml:space="preserve">Availability of policies and guidelines (NIP, NRISP) </w:t>
      </w:r>
    </w:p>
    <w:p w14:paraId="3D2240D1" w14:textId="77777777" w:rsidR="00216098" w:rsidRPr="00F65C50" w:rsidRDefault="00216098" w:rsidP="00F65C50">
      <w:pPr>
        <w:pStyle w:val="Default"/>
        <w:numPr>
          <w:ilvl w:val="0"/>
          <w:numId w:val="1"/>
        </w:numPr>
        <w:rPr>
          <w:rFonts w:asciiTheme="minorHAnsi" w:hAnsiTheme="minorHAnsi" w:cstheme="minorHAnsi"/>
          <w:sz w:val="22"/>
          <w:szCs w:val="22"/>
        </w:rPr>
      </w:pPr>
      <w:r w:rsidRPr="00F65C50">
        <w:rPr>
          <w:rFonts w:asciiTheme="minorHAnsi" w:hAnsiTheme="minorHAnsi" w:cstheme="minorHAnsi"/>
          <w:sz w:val="22"/>
          <w:szCs w:val="22"/>
        </w:rPr>
        <w:t xml:space="preserve">Availability of functional coordination committees and working groups </w:t>
      </w:r>
    </w:p>
    <w:p w14:paraId="661D6312" w14:textId="77777777" w:rsidR="00216098" w:rsidRPr="00F65C50" w:rsidRDefault="00216098" w:rsidP="00F65C50">
      <w:pPr>
        <w:pStyle w:val="Default"/>
        <w:numPr>
          <w:ilvl w:val="0"/>
          <w:numId w:val="1"/>
        </w:numPr>
        <w:rPr>
          <w:rFonts w:asciiTheme="minorHAnsi" w:hAnsiTheme="minorHAnsi" w:cstheme="minorHAnsi"/>
          <w:sz w:val="22"/>
          <w:szCs w:val="22"/>
        </w:rPr>
      </w:pPr>
      <w:r w:rsidRPr="00F65C50">
        <w:rPr>
          <w:rFonts w:asciiTheme="minorHAnsi" w:hAnsiTheme="minorHAnsi" w:cstheme="minorHAnsi"/>
          <w:sz w:val="22"/>
          <w:szCs w:val="22"/>
        </w:rPr>
        <w:t xml:space="preserve">Accountability framework in place (2013-2015) </w:t>
      </w:r>
    </w:p>
    <w:p w14:paraId="106E9EE1" w14:textId="593E37A4" w:rsidR="00216098" w:rsidRPr="00F65C50" w:rsidRDefault="00216098" w:rsidP="00F65C50">
      <w:pPr>
        <w:pStyle w:val="Default"/>
        <w:numPr>
          <w:ilvl w:val="0"/>
          <w:numId w:val="1"/>
        </w:numPr>
        <w:rPr>
          <w:rFonts w:asciiTheme="minorHAnsi" w:hAnsiTheme="minorHAnsi" w:cstheme="minorHAnsi"/>
          <w:sz w:val="22"/>
          <w:szCs w:val="22"/>
        </w:rPr>
      </w:pPr>
      <w:r w:rsidRPr="00F65C50">
        <w:rPr>
          <w:rFonts w:asciiTheme="minorHAnsi" w:hAnsiTheme="minorHAnsi" w:cstheme="minorHAnsi"/>
          <w:sz w:val="22"/>
          <w:szCs w:val="22"/>
        </w:rPr>
        <w:t>Regular high</w:t>
      </w:r>
      <w:r w:rsidR="0084320C">
        <w:rPr>
          <w:rFonts w:asciiTheme="minorHAnsi" w:hAnsiTheme="minorHAnsi" w:cstheme="minorHAnsi"/>
          <w:sz w:val="22"/>
          <w:szCs w:val="22"/>
        </w:rPr>
        <w:t>-</w:t>
      </w:r>
      <w:r w:rsidRPr="00F65C50">
        <w:rPr>
          <w:rFonts w:asciiTheme="minorHAnsi" w:hAnsiTheme="minorHAnsi" w:cstheme="minorHAnsi"/>
          <w:sz w:val="22"/>
          <w:szCs w:val="22"/>
        </w:rPr>
        <w:t xml:space="preserve">level advocacy with the legislature </w:t>
      </w:r>
    </w:p>
    <w:p w14:paraId="7ED1E272" w14:textId="77777777" w:rsidR="00F65C50" w:rsidRPr="00F65C50" w:rsidRDefault="00216098" w:rsidP="00F65C50">
      <w:pPr>
        <w:pStyle w:val="Default"/>
        <w:numPr>
          <w:ilvl w:val="0"/>
          <w:numId w:val="1"/>
        </w:numPr>
        <w:rPr>
          <w:rFonts w:asciiTheme="minorHAnsi" w:hAnsiTheme="minorHAnsi" w:cstheme="minorHAnsi"/>
          <w:sz w:val="22"/>
          <w:szCs w:val="22"/>
        </w:rPr>
      </w:pPr>
      <w:r w:rsidRPr="00F65C50">
        <w:rPr>
          <w:rFonts w:asciiTheme="minorHAnsi" w:hAnsiTheme="minorHAnsi" w:cstheme="minorHAnsi"/>
          <w:sz w:val="22"/>
          <w:szCs w:val="22"/>
        </w:rPr>
        <w:t xml:space="preserve">Good pool of skilled health care workers </w:t>
      </w:r>
      <w:r w:rsidR="00F65C50" w:rsidRPr="00F65C50">
        <w:rPr>
          <w:rFonts w:asciiTheme="minorHAnsi" w:hAnsiTheme="minorHAnsi" w:cstheme="minorHAnsi"/>
          <w:sz w:val="22"/>
          <w:szCs w:val="22"/>
        </w:rPr>
        <w:t>(though concentrated mostly around the urban areas)</w:t>
      </w:r>
    </w:p>
    <w:p w14:paraId="54E91EE8" w14:textId="77777777" w:rsidR="00F65C50" w:rsidRPr="00F65C50" w:rsidRDefault="00F65C50" w:rsidP="00F65C50">
      <w:pPr>
        <w:pStyle w:val="Default"/>
        <w:numPr>
          <w:ilvl w:val="0"/>
          <w:numId w:val="1"/>
        </w:numPr>
        <w:rPr>
          <w:rFonts w:asciiTheme="minorHAnsi" w:hAnsiTheme="minorHAnsi" w:cstheme="minorHAnsi"/>
          <w:sz w:val="22"/>
          <w:szCs w:val="22"/>
        </w:rPr>
      </w:pPr>
      <w:r w:rsidRPr="00F65C50">
        <w:rPr>
          <w:rFonts w:asciiTheme="minorHAnsi" w:hAnsiTheme="minorHAnsi" w:cstheme="minorHAnsi"/>
          <w:sz w:val="22"/>
          <w:szCs w:val="22"/>
        </w:rPr>
        <w:t>Establishment of PHCUOR concept: To address PHC manpower (harmonized remuneration) and management of bottlenecks.</w:t>
      </w:r>
    </w:p>
    <w:p w14:paraId="0E538EEA" w14:textId="77777777" w:rsidR="00F65C50" w:rsidRPr="00F65C50" w:rsidRDefault="00F65C50" w:rsidP="00F65C50">
      <w:pPr>
        <w:pStyle w:val="Default"/>
        <w:numPr>
          <w:ilvl w:val="0"/>
          <w:numId w:val="1"/>
        </w:numPr>
        <w:rPr>
          <w:rFonts w:asciiTheme="minorHAnsi" w:hAnsiTheme="minorHAnsi" w:cstheme="minorHAnsi"/>
          <w:sz w:val="22"/>
          <w:szCs w:val="22"/>
        </w:rPr>
      </w:pPr>
      <w:r w:rsidRPr="00F65C50">
        <w:rPr>
          <w:rFonts w:asciiTheme="minorHAnsi" w:hAnsiTheme="minorHAnsi" w:cstheme="minorHAnsi"/>
          <w:sz w:val="22"/>
          <w:szCs w:val="22"/>
        </w:rPr>
        <w:t xml:space="preserve"> Signing into law the National Health Act would provide additional financing for primary health care health services (immunization inclusive)</w:t>
      </w:r>
    </w:p>
    <w:p w14:paraId="369E5850" w14:textId="0039EA3B" w:rsidR="00216098" w:rsidRDefault="00F65C50" w:rsidP="00F65C50">
      <w:pPr>
        <w:pStyle w:val="Default"/>
        <w:numPr>
          <w:ilvl w:val="0"/>
          <w:numId w:val="1"/>
        </w:numPr>
        <w:rPr>
          <w:rFonts w:asciiTheme="minorHAnsi" w:hAnsiTheme="minorHAnsi" w:cstheme="minorHAnsi"/>
          <w:sz w:val="22"/>
          <w:szCs w:val="22"/>
        </w:rPr>
      </w:pPr>
      <w:r w:rsidRPr="00F65C50">
        <w:rPr>
          <w:rFonts w:asciiTheme="minorHAnsi" w:hAnsiTheme="minorHAnsi" w:cstheme="minorHAnsi"/>
          <w:sz w:val="22"/>
          <w:szCs w:val="22"/>
        </w:rPr>
        <w:t xml:space="preserve">Political will and financial commitment, especially at </w:t>
      </w:r>
      <w:r w:rsidR="0084320C">
        <w:rPr>
          <w:rFonts w:asciiTheme="minorHAnsi" w:hAnsiTheme="minorHAnsi" w:cstheme="minorHAnsi"/>
          <w:sz w:val="22"/>
          <w:szCs w:val="22"/>
        </w:rPr>
        <w:t xml:space="preserve">the </w:t>
      </w:r>
      <w:r w:rsidRPr="00F65C50">
        <w:rPr>
          <w:rFonts w:asciiTheme="minorHAnsi" w:hAnsiTheme="minorHAnsi" w:cstheme="minorHAnsi"/>
          <w:sz w:val="22"/>
          <w:szCs w:val="22"/>
        </w:rPr>
        <w:t>Federal level</w:t>
      </w:r>
      <w:r w:rsidR="00595AB8">
        <w:rPr>
          <w:rFonts w:asciiTheme="minorHAnsi" w:hAnsiTheme="minorHAnsi" w:cstheme="minorHAnsi"/>
          <w:sz w:val="22"/>
          <w:szCs w:val="22"/>
        </w:rPr>
        <w:t>.</w:t>
      </w:r>
    </w:p>
    <w:p w14:paraId="48DB9BBF" w14:textId="2BF2BEB6" w:rsidR="00595AB8" w:rsidRDefault="00595AB8" w:rsidP="00595AB8">
      <w:pPr>
        <w:pStyle w:val="Default"/>
        <w:ind w:left="765"/>
        <w:rPr>
          <w:rFonts w:asciiTheme="minorHAnsi" w:hAnsiTheme="minorHAnsi" w:cstheme="minorHAnsi"/>
          <w:sz w:val="22"/>
          <w:szCs w:val="22"/>
        </w:rPr>
      </w:pPr>
    </w:p>
    <w:p w14:paraId="1A8B298E" w14:textId="67C5F377" w:rsidR="00595AB8" w:rsidRDefault="00595AB8" w:rsidP="00595AB8">
      <w:pPr>
        <w:pStyle w:val="Default"/>
        <w:ind w:left="765"/>
        <w:rPr>
          <w:rFonts w:asciiTheme="minorHAnsi" w:hAnsiTheme="minorHAnsi" w:cstheme="minorHAnsi"/>
          <w:sz w:val="22"/>
          <w:szCs w:val="22"/>
        </w:rPr>
      </w:pPr>
    </w:p>
    <w:p w14:paraId="301A15FE" w14:textId="77777777" w:rsidR="00595AB8" w:rsidRPr="00F65C50" w:rsidRDefault="00595AB8" w:rsidP="00595AB8">
      <w:pPr>
        <w:pStyle w:val="Default"/>
        <w:ind w:left="765"/>
        <w:rPr>
          <w:rFonts w:asciiTheme="minorHAnsi" w:hAnsiTheme="minorHAnsi" w:cstheme="minorHAnsi"/>
          <w:sz w:val="22"/>
          <w:szCs w:val="22"/>
        </w:rPr>
      </w:pPr>
    </w:p>
    <w:p w14:paraId="73AEBC77" w14:textId="77777777" w:rsidR="00216098" w:rsidRDefault="00F65C50" w:rsidP="00311C11">
      <w:pPr>
        <w:rPr>
          <w:b/>
        </w:rPr>
      </w:pPr>
      <w:r>
        <w:rPr>
          <w:b/>
        </w:rPr>
        <w:lastRenderedPageBreak/>
        <w:t>Weakness</w:t>
      </w:r>
    </w:p>
    <w:p w14:paraId="11812568" w14:textId="77777777" w:rsidR="00F65C50" w:rsidRPr="00F65C50" w:rsidRDefault="00F65C50" w:rsidP="00F65C50">
      <w:pPr>
        <w:autoSpaceDE w:val="0"/>
        <w:autoSpaceDN w:val="0"/>
        <w:adjustRightInd w:val="0"/>
        <w:spacing w:after="0" w:line="240" w:lineRule="auto"/>
        <w:rPr>
          <w:rFonts w:ascii="Georgia" w:hAnsi="Georgia"/>
          <w:sz w:val="24"/>
          <w:szCs w:val="24"/>
        </w:rPr>
      </w:pPr>
    </w:p>
    <w:p w14:paraId="2284CA25" w14:textId="77777777" w:rsidR="00F65C50" w:rsidRPr="00F65C50" w:rsidRDefault="00F65C50" w:rsidP="00F65C50">
      <w:pPr>
        <w:pStyle w:val="ListParagraph"/>
        <w:numPr>
          <w:ilvl w:val="0"/>
          <w:numId w:val="3"/>
        </w:numPr>
        <w:autoSpaceDE w:val="0"/>
        <w:autoSpaceDN w:val="0"/>
        <w:adjustRightInd w:val="0"/>
        <w:spacing w:after="0" w:line="240" w:lineRule="auto"/>
        <w:rPr>
          <w:rFonts w:cstheme="minorHAnsi"/>
          <w:color w:val="000000"/>
        </w:rPr>
      </w:pPr>
      <w:r w:rsidRPr="00F65C50">
        <w:rPr>
          <w:rFonts w:cstheme="minorHAnsi"/>
          <w:color w:val="000000"/>
        </w:rPr>
        <w:t xml:space="preserve">Existing legislature focuses more on immunization financing </w:t>
      </w:r>
    </w:p>
    <w:p w14:paraId="5B4BAC3B" w14:textId="77777777" w:rsidR="00F65C50" w:rsidRPr="00F65C50" w:rsidRDefault="00F65C50" w:rsidP="00F65C50">
      <w:pPr>
        <w:pStyle w:val="ListParagraph"/>
        <w:numPr>
          <w:ilvl w:val="0"/>
          <w:numId w:val="3"/>
        </w:numPr>
        <w:autoSpaceDE w:val="0"/>
        <w:autoSpaceDN w:val="0"/>
        <w:adjustRightInd w:val="0"/>
        <w:spacing w:after="0" w:line="240" w:lineRule="auto"/>
        <w:rPr>
          <w:rFonts w:cstheme="minorHAnsi"/>
          <w:color w:val="000000"/>
        </w:rPr>
      </w:pPr>
      <w:r w:rsidRPr="00F65C50">
        <w:rPr>
          <w:rFonts w:cstheme="minorHAnsi"/>
          <w:color w:val="000000"/>
        </w:rPr>
        <w:t xml:space="preserve">Weak ICC at the state level </w:t>
      </w:r>
    </w:p>
    <w:p w14:paraId="011B3585" w14:textId="77777777" w:rsidR="00F65C50" w:rsidRPr="00F65C50" w:rsidRDefault="00F65C50" w:rsidP="00F65C50">
      <w:pPr>
        <w:pStyle w:val="ListParagraph"/>
        <w:numPr>
          <w:ilvl w:val="0"/>
          <w:numId w:val="3"/>
        </w:numPr>
        <w:autoSpaceDE w:val="0"/>
        <w:autoSpaceDN w:val="0"/>
        <w:adjustRightInd w:val="0"/>
        <w:spacing w:after="0" w:line="240" w:lineRule="auto"/>
        <w:rPr>
          <w:rFonts w:cstheme="minorHAnsi"/>
          <w:color w:val="000000"/>
        </w:rPr>
      </w:pPr>
      <w:r w:rsidRPr="00F65C50">
        <w:rPr>
          <w:rFonts w:cstheme="minorHAnsi"/>
          <w:color w:val="000000"/>
        </w:rPr>
        <w:t xml:space="preserve">Weak implementation of the accountability framework </w:t>
      </w:r>
    </w:p>
    <w:p w14:paraId="0BE0D9E1" w14:textId="0EA84A6F" w:rsidR="00F65C50" w:rsidRPr="00F65C50" w:rsidRDefault="00F65C50" w:rsidP="00F65C50">
      <w:pPr>
        <w:pStyle w:val="ListParagraph"/>
        <w:numPr>
          <w:ilvl w:val="0"/>
          <w:numId w:val="3"/>
        </w:numPr>
        <w:autoSpaceDE w:val="0"/>
        <w:autoSpaceDN w:val="0"/>
        <w:adjustRightInd w:val="0"/>
        <w:spacing w:after="0" w:line="240" w:lineRule="auto"/>
        <w:rPr>
          <w:rFonts w:cstheme="minorHAnsi"/>
          <w:color w:val="000000"/>
        </w:rPr>
      </w:pPr>
      <w:r w:rsidRPr="00F65C50">
        <w:rPr>
          <w:rFonts w:cstheme="minorHAnsi"/>
          <w:color w:val="000000"/>
        </w:rPr>
        <w:t xml:space="preserve">Inadequate skilled health care workers in rural areas </w:t>
      </w:r>
    </w:p>
    <w:p w14:paraId="4C1346CF" w14:textId="77777777" w:rsidR="003D0975" w:rsidRPr="003D0975" w:rsidRDefault="00F65C50" w:rsidP="003D0975">
      <w:pPr>
        <w:pStyle w:val="ListParagraph"/>
        <w:numPr>
          <w:ilvl w:val="0"/>
          <w:numId w:val="3"/>
        </w:numPr>
        <w:autoSpaceDE w:val="0"/>
        <w:autoSpaceDN w:val="0"/>
        <w:adjustRightInd w:val="0"/>
        <w:spacing w:after="0" w:line="240" w:lineRule="auto"/>
        <w:rPr>
          <w:rFonts w:cstheme="minorHAnsi"/>
          <w:color w:val="000000"/>
        </w:rPr>
      </w:pPr>
      <w:r w:rsidRPr="00F65C50">
        <w:rPr>
          <w:rFonts w:cstheme="minorHAnsi"/>
          <w:color w:val="000000"/>
        </w:rPr>
        <w:t xml:space="preserve">Mal-distribution of health workers (HWs): &gt; 70% of the HWs are in the urban areas leaving &lt;30% of HWs in the rural areas. There are </w:t>
      </w:r>
      <w:r w:rsidR="003D0975" w:rsidRPr="003D0975">
        <w:rPr>
          <w:rFonts w:cstheme="minorHAnsi"/>
          <w:color w:val="000000"/>
        </w:rPr>
        <w:t xml:space="preserve">also more health workers in the southern states compared to the northern states </w:t>
      </w:r>
    </w:p>
    <w:p w14:paraId="1A904FC7" w14:textId="6072498B" w:rsidR="003D0975" w:rsidRPr="003D0975" w:rsidRDefault="003D0975" w:rsidP="003D0975">
      <w:pPr>
        <w:pStyle w:val="ListParagraph"/>
        <w:numPr>
          <w:ilvl w:val="0"/>
          <w:numId w:val="3"/>
        </w:numPr>
        <w:autoSpaceDE w:val="0"/>
        <w:autoSpaceDN w:val="0"/>
        <w:adjustRightInd w:val="0"/>
        <w:spacing w:after="0" w:line="240" w:lineRule="auto"/>
        <w:rPr>
          <w:rFonts w:cstheme="minorHAnsi"/>
          <w:color w:val="000000"/>
        </w:rPr>
      </w:pPr>
      <w:r w:rsidRPr="003D0975">
        <w:rPr>
          <w:rFonts w:cstheme="minorHAnsi"/>
          <w:color w:val="000000"/>
        </w:rPr>
        <w:t>Frequent transfer</w:t>
      </w:r>
      <w:r w:rsidR="0084320C">
        <w:rPr>
          <w:rFonts w:cstheme="minorHAnsi"/>
          <w:color w:val="000000"/>
        </w:rPr>
        <w:t>/</w:t>
      </w:r>
      <w:r w:rsidRPr="003D0975">
        <w:rPr>
          <w:rFonts w:cstheme="minorHAnsi"/>
          <w:color w:val="000000"/>
        </w:rPr>
        <w:t xml:space="preserve">retention of health workers </w:t>
      </w:r>
    </w:p>
    <w:p w14:paraId="2D51358C" w14:textId="77777777" w:rsidR="003D0975" w:rsidRPr="003D0975" w:rsidRDefault="003D0975" w:rsidP="003D0975">
      <w:pPr>
        <w:pStyle w:val="ListParagraph"/>
        <w:numPr>
          <w:ilvl w:val="0"/>
          <w:numId w:val="3"/>
        </w:numPr>
        <w:autoSpaceDE w:val="0"/>
        <w:autoSpaceDN w:val="0"/>
        <w:adjustRightInd w:val="0"/>
        <w:spacing w:after="0" w:line="240" w:lineRule="auto"/>
        <w:rPr>
          <w:rFonts w:cstheme="minorHAnsi"/>
          <w:color w:val="000000"/>
        </w:rPr>
      </w:pPr>
      <w:r w:rsidRPr="003D0975">
        <w:rPr>
          <w:rFonts w:cstheme="minorHAnsi"/>
          <w:color w:val="000000"/>
        </w:rPr>
        <w:t xml:space="preserve">Inadequate budgetary and resource allocation for RI at national and sub-national levels </w:t>
      </w:r>
    </w:p>
    <w:p w14:paraId="1F8014CD" w14:textId="693C4C8E" w:rsidR="003D0975" w:rsidRPr="003D0975" w:rsidRDefault="003D0975" w:rsidP="003D0975">
      <w:pPr>
        <w:pStyle w:val="ListParagraph"/>
        <w:numPr>
          <w:ilvl w:val="0"/>
          <w:numId w:val="3"/>
        </w:numPr>
        <w:autoSpaceDE w:val="0"/>
        <w:autoSpaceDN w:val="0"/>
        <w:adjustRightInd w:val="0"/>
        <w:spacing w:after="0" w:line="240" w:lineRule="auto"/>
        <w:rPr>
          <w:rFonts w:cstheme="minorHAnsi"/>
          <w:color w:val="000000"/>
        </w:rPr>
      </w:pPr>
      <w:r w:rsidRPr="003D0975">
        <w:rPr>
          <w:rFonts w:cstheme="minorHAnsi"/>
          <w:color w:val="000000"/>
        </w:rPr>
        <w:t xml:space="preserve">Inadequate and delayed releases of appropriated funding for immunization with </w:t>
      </w:r>
      <w:r w:rsidR="0084320C">
        <w:rPr>
          <w:rFonts w:cstheme="minorHAnsi"/>
          <w:color w:val="000000"/>
        </w:rPr>
        <w:t xml:space="preserve">the </w:t>
      </w:r>
      <w:r w:rsidRPr="003D0975">
        <w:rPr>
          <w:rFonts w:cstheme="minorHAnsi"/>
          <w:color w:val="000000"/>
        </w:rPr>
        <w:t xml:space="preserve">resultant delayed implementation of planned RI activities. </w:t>
      </w:r>
    </w:p>
    <w:p w14:paraId="0FAAC741" w14:textId="73CA6B1E" w:rsidR="003D0975" w:rsidRPr="003D0975" w:rsidRDefault="003D0975" w:rsidP="003D0975">
      <w:pPr>
        <w:pStyle w:val="ListParagraph"/>
        <w:numPr>
          <w:ilvl w:val="0"/>
          <w:numId w:val="3"/>
        </w:numPr>
        <w:autoSpaceDE w:val="0"/>
        <w:autoSpaceDN w:val="0"/>
        <w:adjustRightInd w:val="0"/>
        <w:spacing w:after="0" w:line="240" w:lineRule="auto"/>
        <w:rPr>
          <w:rFonts w:cstheme="minorHAnsi"/>
          <w:color w:val="000000"/>
        </w:rPr>
      </w:pPr>
      <w:r w:rsidRPr="003D0975">
        <w:rPr>
          <w:rFonts w:cstheme="minorHAnsi"/>
          <w:color w:val="000000"/>
        </w:rPr>
        <w:t>No system to evaluate CMYP itself</w:t>
      </w:r>
      <w:r w:rsidR="00595AB8">
        <w:rPr>
          <w:rFonts w:cstheme="minorHAnsi"/>
          <w:color w:val="000000"/>
        </w:rPr>
        <w:t>.</w:t>
      </w:r>
      <w:r w:rsidRPr="003D0975">
        <w:rPr>
          <w:rFonts w:cstheme="minorHAnsi"/>
          <w:color w:val="000000"/>
        </w:rPr>
        <w:t xml:space="preserve"> </w:t>
      </w:r>
    </w:p>
    <w:p w14:paraId="25AAC6BB" w14:textId="377C406E" w:rsidR="003D0975" w:rsidRPr="003D0975" w:rsidRDefault="003D0975" w:rsidP="003D0975">
      <w:pPr>
        <w:pStyle w:val="ListParagraph"/>
        <w:numPr>
          <w:ilvl w:val="0"/>
          <w:numId w:val="3"/>
        </w:numPr>
        <w:autoSpaceDE w:val="0"/>
        <w:autoSpaceDN w:val="0"/>
        <w:adjustRightInd w:val="0"/>
        <w:spacing w:after="0" w:line="240" w:lineRule="auto"/>
        <w:rPr>
          <w:rFonts w:cstheme="minorHAnsi"/>
          <w:color w:val="000000"/>
        </w:rPr>
      </w:pPr>
      <w:r w:rsidRPr="003D0975">
        <w:rPr>
          <w:rFonts w:cstheme="minorHAnsi"/>
          <w:color w:val="000000"/>
        </w:rPr>
        <w:t>Inadequate engagement of the community members in RI services</w:t>
      </w:r>
      <w:r w:rsidR="00595AB8">
        <w:rPr>
          <w:rFonts w:cstheme="minorHAnsi"/>
          <w:color w:val="000000"/>
        </w:rPr>
        <w:t>.</w:t>
      </w:r>
      <w:r w:rsidRPr="003D0975">
        <w:rPr>
          <w:rFonts w:cstheme="minorHAnsi"/>
          <w:color w:val="000000"/>
        </w:rPr>
        <w:t xml:space="preserve"> </w:t>
      </w:r>
    </w:p>
    <w:p w14:paraId="2396BDAA" w14:textId="34C09068" w:rsidR="00F65C50" w:rsidRDefault="00F65C50" w:rsidP="003D0975">
      <w:pPr>
        <w:pStyle w:val="ListParagraph"/>
        <w:rPr>
          <w:b/>
        </w:rPr>
      </w:pPr>
    </w:p>
    <w:p w14:paraId="5A70B474" w14:textId="30C7BBB4" w:rsidR="00595AB8" w:rsidRDefault="00595AB8" w:rsidP="003D0975">
      <w:pPr>
        <w:pStyle w:val="ListParagraph"/>
        <w:rPr>
          <w:b/>
        </w:rPr>
      </w:pPr>
    </w:p>
    <w:p w14:paraId="7978C200" w14:textId="7F561C7A" w:rsidR="00595AB8" w:rsidRDefault="00595AB8" w:rsidP="00595AB8">
      <w:pPr>
        <w:pStyle w:val="ListParagraph"/>
        <w:ind w:left="0"/>
        <w:rPr>
          <w:b/>
        </w:rPr>
      </w:pPr>
      <w:r w:rsidRPr="00595AB8">
        <w:rPr>
          <w:b/>
        </w:rPr>
        <w:t>Opportunities</w:t>
      </w:r>
    </w:p>
    <w:p w14:paraId="258F77E5" w14:textId="0BF76489" w:rsidR="00595AB8" w:rsidRDefault="00595AB8" w:rsidP="00595AB8">
      <w:pPr>
        <w:pStyle w:val="ListParagraph"/>
        <w:ind w:left="0"/>
        <w:rPr>
          <w:b/>
        </w:rPr>
      </w:pPr>
    </w:p>
    <w:p w14:paraId="2CD8952B" w14:textId="0BDF4B58" w:rsidR="00595AB8" w:rsidRDefault="00595AB8" w:rsidP="00595AB8">
      <w:pPr>
        <w:pStyle w:val="ListParagraph"/>
        <w:ind w:left="0"/>
        <w:rPr>
          <w:b/>
        </w:rPr>
      </w:pPr>
    </w:p>
    <w:p w14:paraId="67B4A454" w14:textId="6A0F5759" w:rsidR="00595AB8" w:rsidRPr="00595AB8" w:rsidRDefault="00595AB8" w:rsidP="00595AB8">
      <w:pPr>
        <w:pStyle w:val="ListParagraph"/>
        <w:numPr>
          <w:ilvl w:val="0"/>
          <w:numId w:val="5"/>
        </w:numPr>
        <w:ind w:left="765"/>
        <w:rPr>
          <w:bCs/>
        </w:rPr>
      </w:pPr>
      <w:r w:rsidRPr="00595AB8">
        <w:rPr>
          <w:bCs/>
        </w:rPr>
        <w:t>NTLC as a high</w:t>
      </w:r>
      <w:r>
        <w:rPr>
          <w:bCs/>
        </w:rPr>
        <w:t>-</w:t>
      </w:r>
      <w:r w:rsidRPr="00595AB8">
        <w:rPr>
          <w:bCs/>
        </w:rPr>
        <w:t>level advocacy platform for strengthening accountability for RI</w:t>
      </w:r>
    </w:p>
    <w:p w14:paraId="181128EC" w14:textId="3E6C97C3" w:rsidR="00595AB8" w:rsidRPr="00595AB8" w:rsidRDefault="00595AB8" w:rsidP="00595AB8">
      <w:pPr>
        <w:pStyle w:val="ListParagraph"/>
        <w:ind w:left="810"/>
        <w:rPr>
          <w:bCs/>
        </w:rPr>
      </w:pPr>
      <w:r w:rsidRPr="00595AB8">
        <w:rPr>
          <w:bCs/>
        </w:rPr>
        <w:t>Growing PPP on immunization (e.g. private Alliance on health)</w:t>
      </w:r>
    </w:p>
    <w:p w14:paraId="655BA99E" w14:textId="2ED29FB0" w:rsidR="00595AB8" w:rsidRPr="00595AB8" w:rsidRDefault="00595AB8" w:rsidP="00595AB8">
      <w:pPr>
        <w:pStyle w:val="ListParagraph"/>
        <w:numPr>
          <w:ilvl w:val="0"/>
          <w:numId w:val="5"/>
        </w:numPr>
        <w:ind w:left="765"/>
        <w:rPr>
          <w:bCs/>
        </w:rPr>
      </w:pPr>
      <w:r w:rsidRPr="00595AB8">
        <w:rPr>
          <w:bCs/>
        </w:rPr>
        <w:t>Donor support for in-service training</w:t>
      </w:r>
      <w:r>
        <w:rPr>
          <w:bCs/>
        </w:rPr>
        <w:t>.</w:t>
      </w:r>
    </w:p>
    <w:p w14:paraId="088701F8" w14:textId="74B715F7" w:rsidR="00595AB8" w:rsidRPr="00595AB8" w:rsidRDefault="00595AB8" w:rsidP="00595AB8">
      <w:pPr>
        <w:pStyle w:val="ListParagraph"/>
        <w:numPr>
          <w:ilvl w:val="0"/>
          <w:numId w:val="5"/>
        </w:numPr>
        <w:ind w:left="765"/>
        <w:rPr>
          <w:bCs/>
        </w:rPr>
      </w:pPr>
      <w:r w:rsidRPr="00595AB8">
        <w:rPr>
          <w:bCs/>
        </w:rPr>
        <w:t>Volunteer health care workers</w:t>
      </w:r>
      <w:r>
        <w:rPr>
          <w:bCs/>
        </w:rPr>
        <w:t>.</w:t>
      </w:r>
    </w:p>
    <w:p w14:paraId="3E634C54" w14:textId="2E0BE31F" w:rsidR="00595AB8" w:rsidRPr="00595AB8" w:rsidRDefault="00595AB8" w:rsidP="00595AB8">
      <w:pPr>
        <w:pStyle w:val="ListParagraph"/>
        <w:numPr>
          <w:ilvl w:val="0"/>
          <w:numId w:val="5"/>
        </w:numPr>
        <w:ind w:left="765"/>
        <w:rPr>
          <w:bCs/>
        </w:rPr>
      </w:pPr>
      <w:r w:rsidRPr="00595AB8">
        <w:rPr>
          <w:bCs/>
        </w:rPr>
        <w:t xml:space="preserve">Involvement of </w:t>
      </w:r>
      <w:r>
        <w:rPr>
          <w:bCs/>
        </w:rPr>
        <w:t xml:space="preserve">the </w:t>
      </w:r>
      <w:r w:rsidRPr="00595AB8">
        <w:rPr>
          <w:bCs/>
        </w:rPr>
        <w:t>private sector (</w:t>
      </w:r>
      <w:proofErr w:type="spellStart"/>
      <w:r w:rsidRPr="00595AB8">
        <w:rPr>
          <w:bCs/>
        </w:rPr>
        <w:t>e.</w:t>
      </w:r>
      <w:proofErr w:type="gramStart"/>
      <w:r w:rsidRPr="00595AB8">
        <w:rPr>
          <w:bCs/>
        </w:rPr>
        <w:t>g.Dangote</w:t>
      </w:r>
      <w:proofErr w:type="spellEnd"/>
      <w:proofErr w:type="gramEnd"/>
      <w:r w:rsidRPr="00595AB8">
        <w:rPr>
          <w:bCs/>
        </w:rPr>
        <w:t>) in RI</w:t>
      </w:r>
    </w:p>
    <w:p w14:paraId="02740611" w14:textId="6144FF9F" w:rsidR="00595AB8" w:rsidRDefault="00595AB8" w:rsidP="00595AB8">
      <w:pPr>
        <w:pStyle w:val="ListParagraph"/>
        <w:numPr>
          <w:ilvl w:val="0"/>
          <w:numId w:val="5"/>
        </w:numPr>
        <w:ind w:left="765"/>
        <w:rPr>
          <w:bCs/>
        </w:rPr>
      </w:pPr>
      <w:r w:rsidRPr="00595AB8">
        <w:rPr>
          <w:bCs/>
        </w:rPr>
        <w:t>Performance</w:t>
      </w:r>
      <w:r>
        <w:rPr>
          <w:bCs/>
        </w:rPr>
        <w:t>-</w:t>
      </w:r>
      <w:r w:rsidRPr="00595AB8">
        <w:rPr>
          <w:bCs/>
        </w:rPr>
        <w:t>based financing</w:t>
      </w:r>
      <w:r>
        <w:rPr>
          <w:bCs/>
        </w:rPr>
        <w:t>.</w:t>
      </w:r>
    </w:p>
    <w:p w14:paraId="2F0F6B0D" w14:textId="7D8AA7F6" w:rsidR="00595AB8" w:rsidRDefault="00595AB8" w:rsidP="00595AB8">
      <w:pPr>
        <w:pStyle w:val="ListParagraph"/>
        <w:ind w:left="765"/>
        <w:rPr>
          <w:bCs/>
        </w:rPr>
      </w:pPr>
    </w:p>
    <w:p w14:paraId="467B70B5" w14:textId="77777777" w:rsidR="00595AB8" w:rsidRPr="00595AB8" w:rsidRDefault="00595AB8" w:rsidP="00595AB8">
      <w:pPr>
        <w:autoSpaceDE w:val="0"/>
        <w:autoSpaceDN w:val="0"/>
        <w:adjustRightInd w:val="0"/>
        <w:spacing w:after="0" w:line="240" w:lineRule="auto"/>
        <w:rPr>
          <w:rFonts w:ascii="Georgia" w:hAnsi="Georgia" w:cs="Georgia"/>
          <w:color w:val="000000"/>
          <w:sz w:val="20"/>
          <w:szCs w:val="20"/>
        </w:rPr>
      </w:pPr>
      <w:r w:rsidRPr="00595AB8">
        <w:rPr>
          <w:rFonts w:ascii="Georgia" w:hAnsi="Georgia" w:cs="Georgia"/>
          <w:b/>
          <w:bCs/>
          <w:color w:val="000000"/>
          <w:sz w:val="20"/>
          <w:szCs w:val="20"/>
        </w:rPr>
        <w:t xml:space="preserve">Threats </w:t>
      </w:r>
    </w:p>
    <w:p w14:paraId="4B5A8B31" w14:textId="089FA0FB" w:rsidR="00595AB8" w:rsidRDefault="00595AB8" w:rsidP="00595AB8">
      <w:pPr>
        <w:pStyle w:val="ListParagraph"/>
        <w:ind w:left="765"/>
        <w:rPr>
          <w:bCs/>
        </w:rPr>
      </w:pPr>
    </w:p>
    <w:p w14:paraId="2F2A3F53" w14:textId="77777777" w:rsidR="00595AB8" w:rsidRPr="00595AB8" w:rsidRDefault="00595AB8" w:rsidP="00595AB8">
      <w:pPr>
        <w:pStyle w:val="ListParagraph"/>
        <w:numPr>
          <w:ilvl w:val="0"/>
          <w:numId w:val="6"/>
        </w:numPr>
        <w:rPr>
          <w:bCs/>
        </w:rPr>
      </w:pPr>
      <w:r w:rsidRPr="00595AB8">
        <w:rPr>
          <w:bCs/>
        </w:rPr>
        <w:t>The general view that the National Health Act will solve all health challenges</w:t>
      </w:r>
    </w:p>
    <w:p w14:paraId="02CC141F" w14:textId="7F44DB88" w:rsidR="00595AB8" w:rsidRPr="00595AB8" w:rsidRDefault="00595AB8" w:rsidP="00595AB8">
      <w:pPr>
        <w:pStyle w:val="ListParagraph"/>
        <w:numPr>
          <w:ilvl w:val="0"/>
          <w:numId w:val="6"/>
        </w:numPr>
        <w:rPr>
          <w:bCs/>
        </w:rPr>
      </w:pPr>
      <w:r>
        <w:rPr>
          <w:bCs/>
        </w:rPr>
        <w:t>The e</w:t>
      </w:r>
      <w:r w:rsidRPr="00595AB8">
        <w:rPr>
          <w:bCs/>
        </w:rPr>
        <w:t>xit of GAVI and rebasing of the economy</w:t>
      </w:r>
    </w:p>
    <w:p w14:paraId="6A2C88E1" w14:textId="12A5BFA2" w:rsidR="00595AB8" w:rsidRPr="00595AB8" w:rsidRDefault="00595AB8" w:rsidP="00595AB8">
      <w:pPr>
        <w:pStyle w:val="ListParagraph"/>
        <w:numPr>
          <w:ilvl w:val="0"/>
          <w:numId w:val="6"/>
        </w:numPr>
        <w:rPr>
          <w:bCs/>
        </w:rPr>
      </w:pPr>
      <w:r w:rsidRPr="00595AB8">
        <w:rPr>
          <w:bCs/>
        </w:rPr>
        <w:t>Frequent and protracted health worker strike</w:t>
      </w:r>
    </w:p>
    <w:p w14:paraId="498C129B" w14:textId="0ABDF7AF" w:rsidR="00595AB8" w:rsidRPr="00595AB8" w:rsidRDefault="00595AB8" w:rsidP="00595AB8">
      <w:pPr>
        <w:pStyle w:val="ListParagraph"/>
        <w:numPr>
          <w:ilvl w:val="0"/>
          <w:numId w:val="6"/>
        </w:numPr>
        <w:rPr>
          <w:bCs/>
        </w:rPr>
      </w:pPr>
      <w:r w:rsidRPr="00595AB8">
        <w:rPr>
          <w:bCs/>
        </w:rPr>
        <w:t>Brain drain/Migration</w:t>
      </w:r>
    </w:p>
    <w:p w14:paraId="1DB2A03F" w14:textId="3941511C" w:rsidR="00595AB8" w:rsidRPr="00595AB8" w:rsidRDefault="00595AB8" w:rsidP="00595AB8">
      <w:pPr>
        <w:pStyle w:val="ListParagraph"/>
        <w:numPr>
          <w:ilvl w:val="0"/>
          <w:numId w:val="6"/>
        </w:numPr>
        <w:rPr>
          <w:bCs/>
        </w:rPr>
      </w:pPr>
      <w:r w:rsidRPr="00595AB8">
        <w:rPr>
          <w:bCs/>
        </w:rPr>
        <w:t>States / LGAs are not employing staff (HWs)</w:t>
      </w:r>
    </w:p>
    <w:p w14:paraId="68BA65DA" w14:textId="66D73A4C" w:rsidR="00595AB8" w:rsidRPr="00595AB8" w:rsidRDefault="00595AB8" w:rsidP="00595AB8">
      <w:pPr>
        <w:pStyle w:val="ListParagraph"/>
        <w:numPr>
          <w:ilvl w:val="0"/>
          <w:numId w:val="6"/>
        </w:numPr>
        <w:rPr>
          <w:bCs/>
        </w:rPr>
      </w:pPr>
      <w:r>
        <w:rPr>
          <w:bCs/>
        </w:rPr>
        <w:t>The a</w:t>
      </w:r>
      <w:r w:rsidRPr="00595AB8">
        <w:rPr>
          <w:bCs/>
        </w:rPr>
        <w:t>ttitude of some health workers</w:t>
      </w:r>
    </w:p>
    <w:p w14:paraId="51E25BA6" w14:textId="5AB7A37C" w:rsidR="00595AB8" w:rsidRPr="00595AB8" w:rsidRDefault="00595AB8" w:rsidP="00595AB8">
      <w:pPr>
        <w:pStyle w:val="ListParagraph"/>
        <w:numPr>
          <w:ilvl w:val="0"/>
          <w:numId w:val="6"/>
        </w:numPr>
        <w:rPr>
          <w:bCs/>
        </w:rPr>
      </w:pPr>
      <w:r w:rsidRPr="00595AB8">
        <w:rPr>
          <w:bCs/>
        </w:rPr>
        <w:t>Insecurity in some regions</w:t>
      </w:r>
    </w:p>
    <w:p w14:paraId="73E2C804" w14:textId="63E9CA83" w:rsidR="00595AB8" w:rsidRPr="00595AB8" w:rsidRDefault="00595AB8" w:rsidP="00595AB8">
      <w:pPr>
        <w:pStyle w:val="ListParagraph"/>
        <w:numPr>
          <w:ilvl w:val="0"/>
          <w:numId w:val="6"/>
        </w:numPr>
        <w:rPr>
          <w:bCs/>
        </w:rPr>
      </w:pPr>
      <w:r w:rsidRPr="00595AB8">
        <w:rPr>
          <w:bCs/>
        </w:rPr>
        <w:t xml:space="preserve">High out of </w:t>
      </w:r>
      <w:r>
        <w:rPr>
          <w:bCs/>
        </w:rPr>
        <w:t xml:space="preserve">the </w:t>
      </w:r>
      <w:r w:rsidRPr="00595AB8">
        <w:rPr>
          <w:bCs/>
        </w:rPr>
        <w:t>pocket expenditure</w:t>
      </w:r>
    </w:p>
    <w:p w14:paraId="6EEF6CC3" w14:textId="41672294" w:rsidR="00595AB8" w:rsidRDefault="00595AB8" w:rsidP="00595AB8">
      <w:pPr>
        <w:pStyle w:val="ListParagraph"/>
        <w:numPr>
          <w:ilvl w:val="0"/>
          <w:numId w:val="6"/>
        </w:numPr>
        <w:rPr>
          <w:bCs/>
        </w:rPr>
      </w:pPr>
      <w:r w:rsidRPr="00595AB8">
        <w:rPr>
          <w:bCs/>
        </w:rPr>
        <w:t>Poor economy (Diminishing/dwindling oil revenue)</w:t>
      </w:r>
    </w:p>
    <w:p w14:paraId="2CA66B58" w14:textId="4C2C9BE9" w:rsidR="00595AB8" w:rsidRDefault="00595AB8" w:rsidP="00595AB8">
      <w:pPr>
        <w:rPr>
          <w:bCs/>
        </w:rPr>
      </w:pPr>
    </w:p>
    <w:p w14:paraId="66660C4A" w14:textId="73F25A22" w:rsidR="00595AB8" w:rsidRDefault="00595AB8" w:rsidP="00595AB8">
      <w:pPr>
        <w:rPr>
          <w:bCs/>
        </w:rPr>
      </w:pPr>
    </w:p>
    <w:p w14:paraId="3378AFBB" w14:textId="77777777" w:rsidR="00595AB8" w:rsidRPr="00595AB8" w:rsidRDefault="00595AB8" w:rsidP="00595AB8">
      <w:pPr>
        <w:rPr>
          <w:bCs/>
        </w:rPr>
      </w:pPr>
    </w:p>
    <w:p w14:paraId="105A35B4" w14:textId="1A80F74B" w:rsidR="00595AB8" w:rsidRDefault="00595AB8" w:rsidP="00595AB8">
      <w:pPr>
        <w:pStyle w:val="ListParagraph"/>
        <w:ind w:left="765"/>
        <w:rPr>
          <w:b/>
        </w:rPr>
      </w:pPr>
    </w:p>
    <w:p w14:paraId="609BB071" w14:textId="668FF0BA" w:rsidR="00595AB8" w:rsidRDefault="00595AB8" w:rsidP="00595AB8">
      <w:pPr>
        <w:pStyle w:val="ListParagraph"/>
        <w:ind w:left="765"/>
        <w:rPr>
          <w:b/>
        </w:rPr>
      </w:pPr>
      <w:r>
        <w:rPr>
          <w:b/>
        </w:rPr>
        <w:t xml:space="preserve">                                      </w:t>
      </w:r>
      <w:r w:rsidRPr="00595AB8">
        <w:rPr>
          <w:b/>
        </w:rPr>
        <w:t>ROOT CAUSE ANALYSIS</w:t>
      </w:r>
    </w:p>
    <w:p w14:paraId="02CD56A0" w14:textId="3B130954" w:rsidR="00595AB8" w:rsidRDefault="00595AB8" w:rsidP="00595AB8">
      <w:pPr>
        <w:pStyle w:val="ListParagraph"/>
        <w:ind w:left="765"/>
        <w:rPr>
          <w:b/>
        </w:rPr>
      </w:pPr>
    </w:p>
    <w:p w14:paraId="79F0F13B" w14:textId="77777777" w:rsidR="00987D8D" w:rsidRPr="00987D8D" w:rsidRDefault="00987D8D" w:rsidP="00987D8D">
      <w:pPr>
        <w:autoSpaceDE w:val="0"/>
        <w:autoSpaceDN w:val="0"/>
        <w:adjustRightInd w:val="0"/>
        <w:spacing w:after="0" w:line="240" w:lineRule="auto"/>
        <w:rPr>
          <w:rFonts w:ascii="Times New Roman" w:hAnsi="Times New Roman" w:cs="Times New Roman"/>
          <w:color w:val="000000"/>
          <w:sz w:val="24"/>
          <w:szCs w:val="24"/>
        </w:rPr>
      </w:pPr>
    </w:p>
    <w:p w14:paraId="2B635880" w14:textId="60EDC132" w:rsidR="00987D8D" w:rsidRDefault="00987D8D" w:rsidP="00987D8D">
      <w:pPr>
        <w:autoSpaceDE w:val="0"/>
        <w:autoSpaceDN w:val="0"/>
        <w:adjustRightInd w:val="0"/>
        <w:spacing w:after="0" w:line="240" w:lineRule="auto"/>
        <w:rPr>
          <w:rFonts w:ascii="Times New Roman" w:hAnsi="Times New Roman" w:cs="Times New Roman"/>
          <w:b/>
          <w:bCs/>
          <w:color w:val="000000"/>
          <w:sz w:val="24"/>
          <w:szCs w:val="24"/>
        </w:rPr>
      </w:pPr>
      <w:r w:rsidRPr="00987D8D">
        <w:rPr>
          <w:rFonts w:ascii="Times New Roman" w:hAnsi="Times New Roman" w:cs="Times New Roman"/>
          <w:b/>
          <w:bCs/>
          <w:color w:val="000000"/>
          <w:sz w:val="24"/>
          <w:szCs w:val="24"/>
        </w:rPr>
        <w:t>Non-representative denominators</w:t>
      </w:r>
      <w:r>
        <w:rPr>
          <w:rFonts w:ascii="Times New Roman" w:hAnsi="Times New Roman" w:cs="Times New Roman"/>
          <w:b/>
          <w:bCs/>
          <w:color w:val="000000"/>
          <w:sz w:val="24"/>
          <w:szCs w:val="24"/>
        </w:rPr>
        <w:t>:</w:t>
      </w:r>
    </w:p>
    <w:p w14:paraId="1C1983EB" w14:textId="19E67F4D" w:rsidR="00987D8D" w:rsidRDefault="00987D8D" w:rsidP="00987D8D">
      <w:pPr>
        <w:autoSpaceDE w:val="0"/>
        <w:autoSpaceDN w:val="0"/>
        <w:adjustRightInd w:val="0"/>
        <w:spacing w:after="0" w:line="240" w:lineRule="auto"/>
        <w:rPr>
          <w:rFonts w:ascii="Times New Roman" w:hAnsi="Times New Roman" w:cs="Times New Roman"/>
          <w:b/>
          <w:bCs/>
          <w:color w:val="000000"/>
          <w:sz w:val="24"/>
          <w:szCs w:val="24"/>
        </w:rPr>
      </w:pPr>
    </w:p>
    <w:p w14:paraId="0D55F720" w14:textId="450B277E" w:rsidR="00987D8D" w:rsidRDefault="00987D8D" w:rsidP="00987D8D">
      <w:pPr>
        <w:spacing w:line="276" w:lineRule="auto"/>
        <w:jc w:val="both"/>
        <w:rPr>
          <w:rFonts w:cs="TimesNewRomanPSMT"/>
        </w:rPr>
      </w:pPr>
      <w:r w:rsidRPr="00BE7B5C">
        <w:rPr>
          <w:rFonts w:cs="TimesNewRomanPSMT"/>
        </w:rPr>
        <w:t>The target population (denominator) currently used in Nigeria is extrapolated from the 2006 national census figures, using a growth rate for each state and LGA provided by the Nigerian National Statistics Bureau. Doubts, however, surround the accuracy of the 2006 census figures as conflicting interests skewed the census. Additionally, these total coverage figures do not take into account domestic Nigerian inter-state and intra-state migration, which have a significant impact on the population of certain communities</w:t>
      </w:r>
      <w:r>
        <w:rPr>
          <w:rFonts w:cs="TimesNewRomanPSMT"/>
        </w:rPr>
        <w:t xml:space="preserve">. </w:t>
      </w:r>
      <w:r w:rsidRPr="00BE7B5C">
        <w:rPr>
          <w:rFonts w:cs="TimesNewRomanPSMT"/>
        </w:rPr>
        <w:t xml:space="preserve">For instance, Suleja LGA in Niger state; and Keffi and </w:t>
      </w:r>
      <w:proofErr w:type="spellStart"/>
      <w:r w:rsidRPr="005915E9">
        <w:rPr>
          <w:rFonts w:cs="TimesNewRomanPSMT"/>
        </w:rPr>
        <w:t>Karu</w:t>
      </w:r>
      <w:proofErr w:type="spellEnd"/>
      <w:r w:rsidRPr="005915E9">
        <w:rPr>
          <w:rFonts w:cs="TimesNewRomanPSMT"/>
        </w:rPr>
        <w:t xml:space="preserve"> LGAs in Nasarawa state have seen a h</w:t>
      </w:r>
      <w:r w:rsidRPr="0038758C">
        <w:rPr>
          <w:rFonts w:cs="TimesNewRomanPSMT"/>
        </w:rPr>
        <w:t>igh in-migration of people over the last few years due to the proximity of these LGAs to Abuja, yet their growth rates have been pegged as</w:t>
      </w:r>
      <w:r w:rsidRPr="00A91DBF">
        <w:rPr>
          <w:rFonts w:cs="TimesNewRomanPSMT"/>
        </w:rPr>
        <w:t xml:space="preserve"> 3.4% for Niger and 3% for Nasarawa state (while LGAs in FCT are at an average of 9.3%).</w:t>
      </w:r>
      <w:r>
        <w:rPr>
          <w:rFonts w:cs="TimesNewRomanPSMT"/>
        </w:rPr>
        <w:t xml:space="preserve"> </w:t>
      </w:r>
    </w:p>
    <w:p w14:paraId="35F64D95" w14:textId="6567EF5E" w:rsidR="00987D8D" w:rsidRPr="003E07D1" w:rsidRDefault="00987D8D" w:rsidP="00987D8D">
      <w:pPr>
        <w:spacing w:line="276" w:lineRule="auto"/>
        <w:jc w:val="both"/>
        <w:rPr>
          <w:rFonts w:cs="TimesNewRomanPSMT"/>
        </w:rPr>
      </w:pPr>
      <w:r w:rsidRPr="00E52F51">
        <w:rPr>
          <w:rFonts w:cs="TimesNewRomanPSMT"/>
        </w:rPr>
        <w:t>Niger and Nasarawa states have persistently recorded &gt;100% penta3 coverage since 2014 despite having areas with systemic RI challenges (including cold chain, vaccine handling and administration, and demonstrated incidence of poorly trained health workers), see figure</w:t>
      </w:r>
      <w:r>
        <w:rPr>
          <w:rFonts w:cs="TimesNewRomanPSMT"/>
        </w:rPr>
        <w:t xml:space="preserve">. </w:t>
      </w:r>
      <w:r w:rsidRPr="003E07D1">
        <w:rPr>
          <w:rFonts w:cs="TimesNewRomanPSMT"/>
        </w:rPr>
        <w:t>There is currently plan</w:t>
      </w:r>
      <w:r w:rsidR="00016E20">
        <w:rPr>
          <w:rFonts w:cs="TimesNewRomanPSMT"/>
        </w:rPr>
        <w:t>ned</w:t>
      </w:r>
      <w:r w:rsidRPr="003E07D1">
        <w:rPr>
          <w:rFonts w:cs="TimesNewRomanPSMT"/>
        </w:rPr>
        <w:t xml:space="preserve"> by the Federal Government of Nigeria to conduct </w:t>
      </w:r>
      <w:r w:rsidR="00016E20">
        <w:rPr>
          <w:rFonts w:cs="TimesNewRomanPSMT"/>
        </w:rPr>
        <w:t xml:space="preserve">the </w:t>
      </w:r>
      <w:r w:rsidRPr="003E07D1">
        <w:rPr>
          <w:rFonts w:cs="TimesNewRomanPSMT"/>
        </w:rPr>
        <w:t xml:space="preserve">2018 census. In the interim, NPHCDA will support the Pilot GIS mapping of </w:t>
      </w:r>
      <w:r w:rsidR="00016E20">
        <w:rPr>
          <w:rFonts w:cs="TimesNewRomanPSMT"/>
        </w:rPr>
        <w:t xml:space="preserve">the </w:t>
      </w:r>
      <w:r w:rsidRPr="003E07D1">
        <w:rPr>
          <w:rFonts w:cs="TimesNewRomanPSMT"/>
        </w:rPr>
        <w:t xml:space="preserve">population in selected states to improve </w:t>
      </w:r>
      <w:r w:rsidR="00016E20">
        <w:rPr>
          <w:rFonts w:cs="TimesNewRomanPSMT"/>
        </w:rPr>
        <w:t xml:space="preserve">the </w:t>
      </w:r>
      <w:r w:rsidRPr="003E07D1">
        <w:rPr>
          <w:rFonts w:cs="TimesNewRomanPSMT"/>
        </w:rPr>
        <w:t xml:space="preserve">quality of </w:t>
      </w:r>
      <w:r w:rsidR="00016E20">
        <w:rPr>
          <w:rFonts w:cs="TimesNewRomanPSMT"/>
        </w:rPr>
        <w:t xml:space="preserve">the </w:t>
      </w:r>
      <w:r w:rsidRPr="003E07D1">
        <w:rPr>
          <w:rFonts w:cs="TimesNewRomanPSMT"/>
        </w:rPr>
        <w:t>RI micro-planning census and collaborate with National Population Council (</w:t>
      </w:r>
      <w:proofErr w:type="spellStart"/>
      <w:r w:rsidRPr="003E07D1">
        <w:rPr>
          <w:rFonts w:cs="TimesNewRomanPSMT"/>
        </w:rPr>
        <w:t>NPoC</w:t>
      </w:r>
      <w:proofErr w:type="spellEnd"/>
      <w:r w:rsidRPr="003E07D1">
        <w:rPr>
          <w:rFonts w:cs="TimesNewRomanPSMT"/>
        </w:rPr>
        <w:t xml:space="preserve">) to improve civil birth registration and vital statistics. </w:t>
      </w:r>
    </w:p>
    <w:p w14:paraId="3AAE77E7" w14:textId="77777777" w:rsidR="00987D8D" w:rsidRPr="00987D8D" w:rsidRDefault="00987D8D" w:rsidP="00987D8D">
      <w:pPr>
        <w:autoSpaceDE w:val="0"/>
        <w:autoSpaceDN w:val="0"/>
        <w:adjustRightInd w:val="0"/>
        <w:spacing w:after="0" w:line="240" w:lineRule="auto"/>
        <w:rPr>
          <w:rFonts w:ascii="Times New Roman" w:hAnsi="Times New Roman" w:cs="Times New Roman"/>
          <w:color w:val="000000"/>
          <w:sz w:val="24"/>
          <w:szCs w:val="24"/>
        </w:rPr>
      </w:pPr>
    </w:p>
    <w:p w14:paraId="2742F809" w14:textId="77777777" w:rsidR="00987D8D" w:rsidRDefault="00987D8D" w:rsidP="00987D8D">
      <w:pPr>
        <w:pStyle w:val="ListParagraph"/>
        <w:keepNext/>
        <w:ind w:left="765"/>
      </w:pPr>
      <w:r w:rsidRPr="000E463D">
        <w:rPr>
          <w:noProof/>
          <w:highlight w:val="green"/>
          <w:lang w:val="en-GB" w:eastAsia="en-GB"/>
        </w:rPr>
        <w:drawing>
          <wp:inline distT="0" distB="0" distL="0" distR="0" wp14:anchorId="09E38AD3" wp14:editId="7951697C">
            <wp:extent cx="4933950" cy="1809345"/>
            <wp:effectExtent l="0" t="0" r="19050" b="19685"/>
            <wp:docPr id="46"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459BBB9" w14:textId="0F8128F6" w:rsidR="00595AB8" w:rsidRPr="00987D8D" w:rsidRDefault="00987D8D" w:rsidP="00987D8D">
      <w:pPr>
        <w:pStyle w:val="Caption"/>
        <w:jc w:val="center"/>
        <w:rPr>
          <w:b/>
          <w:bCs/>
        </w:rPr>
      </w:pPr>
      <w:bookmarkStart w:id="0" w:name="_Toc351141882"/>
      <w:bookmarkStart w:id="1" w:name="_Hlk22843397"/>
      <w:r w:rsidRPr="00987D8D">
        <w:rPr>
          <w:b/>
          <w:bCs/>
          <w:i w:val="0"/>
          <w:noProof/>
          <w:color w:val="auto"/>
          <w:sz w:val="20"/>
          <w:szCs w:val="20"/>
        </w:rPr>
        <w:t>Trend of Penta3 cumulative coverage in Nasarawa and Niger states (December 2013 – 2016</w:t>
      </w:r>
      <w:bookmarkEnd w:id="0"/>
      <w:r w:rsidRPr="00987D8D">
        <w:rPr>
          <w:b/>
          <w:bCs/>
          <w:i w:val="0"/>
          <w:noProof/>
          <w:color w:val="auto"/>
          <w:sz w:val="20"/>
          <w:szCs w:val="20"/>
        </w:rPr>
        <w:t>)</w:t>
      </w:r>
    </w:p>
    <w:bookmarkEnd w:id="1"/>
    <w:p w14:paraId="0E6E4908" w14:textId="37F47F9D" w:rsidR="00595AB8" w:rsidRDefault="00595AB8" w:rsidP="00595AB8">
      <w:pPr>
        <w:pStyle w:val="ListParagraph"/>
        <w:ind w:left="765"/>
        <w:rPr>
          <w:b/>
        </w:rPr>
      </w:pPr>
    </w:p>
    <w:p w14:paraId="39D07D5B" w14:textId="31B7DD13" w:rsidR="00595AB8" w:rsidRDefault="00595AB8" w:rsidP="00595AB8">
      <w:pPr>
        <w:pStyle w:val="ListParagraph"/>
        <w:ind w:left="765"/>
        <w:rPr>
          <w:b/>
        </w:rPr>
      </w:pPr>
    </w:p>
    <w:p w14:paraId="75A8EEA0" w14:textId="6CD77053" w:rsidR="00987D8D" w:rsidRDefault="00987D8D" w:rsidP="00595AB8">
      <w:pPr>
        <w:pStyle w:val="ListParagraph"/>
        <w:ind w:left="765"/>
        <w:rPr>
          <w:b/>
        </w:rPr>
      </w:pPr>
    </w:p>
    <w:p w14:paraId="1FFD1844" w14:textId="4B98A2C6" w:rsidR="00987D8D" w:rsidRDefault="00987D8D" w:rsidP="00595AB8">
      <w:pPr>
        <w:pStyle w:val="ListParagraph"/>
        <w:ind w:left="765"/>
        <w:rPr>
          <w:b/>
        </w:rPr>
      </w:pPr>
    </w:p>
    <w:p w14:paraId="39A95701" w14:textId="307B895F" w:rsidR="00987D8D" w:rsidRDefault="00987D8D" w:rsidP="00595AB8">
      <w:pPr>
        <w:pStyle w:val="ListParagraph"/>
        <w:ind w:left="765"/>
        <w:rPr>
          <w:b/>
        </w:rPr>
      </w:pPr>
    </w:p>
    <w:p w14:paraId="0E51CA58" w14:textId="72CC5AB9" w:rsidR="00987D8D" w:rsidRDefault="00987D8D" w:rsidP="00595AB8">
      <w:pPr>
        <w:pStyle w:val="ListParagraph"/>
        <w:ind w:left="765"/>
        <w:rPr>
          <w:b/>
        </w:rPr>
      </w:pPr>
    </w:p>
    <w:p w14:paraId="24C1535C" w14:textId="27A7B67B" w:rsidR="00987D8D" w:rsidRDefault="00987D8D" w:rsidP="00595AB8">
      <w:pPr>
        <w:pStyle w:val="ListParagraph"/>
        <w:ind w:left="765"/>
        <w:rPr>
          <w:b/>
        </w:rPr>
      </w:pPr>
    </w:p>
    <w:p w14:paraId="68106027" w14:textId="57459F58" w:rsidR="00987D8D" w:rsidRDefault="00987D8D" w:rsidP="00595AB8">
      <w:pPr>
        <w:pStyle w:val="ListParagraph"/>
        <w:ind w:left="765"/>
        <w:rPr>
          <w:b/>
        </w:rPr>
      </w:pPr>
    </w:p>
    <w:p w14:paraId="6AF51002" w14:textId="3B88815C" w:rsidR="00987D8D" w:rsidRPr="00CC61ED" w:rsidRDefault="00987D8D" w:rsidP="00987D8D">
      <w:pPr>
        <w:pStyle w:val="BodyText"/>
        <w:spacing w:line="276" w:lineRule="auto"/>
        <w:ind w:firstLine="0"/>
      </w:pPr>
      <w:r>
        <w:rPr>
          <w:noProof/>
        </w:rPr>
        <mc:AlternateContent>
          <mc:Choice Requires="wps">
            <w:drawing>
              <wp:anchor distT="0" distB="0" distL="114300" distR="114300" simplePos="0" relativeHeight="251660288" behindDoc="0" locked="0" layoutInCell="1" allowOverlap="1" wp14:anchorId="4919EA50" wp14:editId="58BA6E74">
                <wp:simplePos x="0" y="0"/>
                <wp:positionH relativeFrom="column">
                  <wp:posOffset>209550</wp:posOffset>
                </wp:positionH>
                <wp:positionV relativeFrom="paragraph">
                  <wp:posOffset>3456940</wp:posOffset>
                </wp:positionV>
                <wp:extent cx="573278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32780" cy="635"/>
                        </a:xfrm>
                        <a:prstGeom prst="rect">
                          <a:avLst/>
                        </a:prstGeom>
                        <a:solidFill>
                          <a:prstClr val="white"/>
                        </a:solidFill>
                        <a:ln>
                          <a:noFill/>
                        </a:ln>
                      </wps:spPr>
                      <wps:txbx>
                        <w:txbxContent>
                          <w:p w14:paraId="5A2DB08B" w14:textId="1BC0E9E5" w:rsidR="00433F6F" w:rsidRPr="00987D8D" w:rsidRDefault="00433F6F" w:rsidP="00987D8D">
                            <w:pPr>
                              <w:pStyle w:val="Caption"/>
                              <w:jc w:val="center"/>
                              <w:rPr>
                                <w:b/>
                                <w:bCs/>
                                <w:noProof/>
                                <w:sz w:val="20"/>
                                <w:szCs w:val="20"/>
                                <w:lang w:val="en-GB" w:eastAsia="en-GB"/>
                              </w:rPr>
                            </w:pPr>
                            <w:r w:rsidRPr="00987D8D">
                              <w:rPr>
                                <w:b/>
                                <w:bCs/>
                                <w:i w:val="0"/>
                                <w:noProof/>
                                <w:color w:val="auto"/>
                                <w:sz w:val="20"/>
                                <w:szCs w:val="20"/>
                              </w:rPr>
                              <w:t>Trends in the DTP1 – DTP3 and BCG – Measles drop out rates (2010 – 2015)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919EA50" id="_x0000_t202" coordsize="21600,21600" o:spt="202" path="m,l,21600r21600,l21600,xe">
                <v:stroke joinstyle="miter"/>
                <v:path gradientshapeok="t" o:connecttype="rect"/>
              </v:shapetype>
              <v:shape id="Text Box 1" o:spid="_x0000_s1026" type="#_x0000_t202" style="position:absolute;left:0;text-align:left;margin-left:16.5pt;margin-top:272.2pt;width:451.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" stroked="f">
                <v:textbox style="mso-fit-shape-to-text:t" inset="0,0,0,0">
                  <w:txbxContent>
                    <w:p w14:paraId="5A2DB08B" w14:textId="1BC0E9E5" w:rsidR="00433F6F" w:rsidRPr="00987D8D" w:rsidRDefault="00433F6F" w:rsidP="00987D8D">
                      <w:pPr>
                        <w:pStyle w:val="Caption"/>
                        <w:jc w:val="center"/>
                        <w:rPr>
                          <w:b/>
                          <w:bCs/>
                          <w:noProof/>
                          <w:sz w:val="20"/>
                          <w:szCs w:val="20"/>
                          <w:lang w:val="en-GB" w:eastAsia="en-GB"/>
                        </w:rPr>
                      </w:pPr>
                      <w:r w:rsidRPr="00987D8D">
                        <w:rPr>
                          <w:b/>
                          <w:bCs/>
                          <w:i w:val="0"/>
                          <w:noProof/>
                          <w:color w:val="auto"/>
                          <w:sz w:val="20"/>
                          <w:szCs w:val="20"/>
                        </w:rPr>
                        <w:t>Trends in the DTP1 – DTP3 and BCG – Measles drop out rates (2010 – 2015)</w:t>
                      </w:r>
                    </w:p>
                  </w:txbxContent>
                </v:textbox>
                <w10:wrap type="square"/>
              </v:shape>
            </w:pict>
          </mc:Fallback>
        </mc:AlternateContent>
      </w:r>
      <w:r w:rsidRPr="000E463D">
        <w:rPr>
          <w:noProof/>
          <w:sz w:val="20"/>
          <w:szCs w:val="20"/>
          <w:highlight w:val="green"/>
          <w:lang w:val="en-GB" w:eastAsia="en-GB"/>
        </w:rPr>
        <w:drawing>
          <wp:anchor distT="0" distB="0" distL="114300" distR="114300" simplePos="0" relativeHeight="251658240" behindDoc="0" locked="0" layoutInCell="1" allowOverlap="1" wp14:anchorId="7FB04FCA" wp14:editId="2E2972EA">
            <wp:simplePos x="0" y="0"/>
            <wp:positionH relativeFrom="margin">
              <wp:align>right</wp:align>
            </wp:positionH>
            <wp:positionV relativeFrom="paragraph">
              <wp:posOffset>1590675</wp:posOffset>
            </wp:positionV>
            <wp:extent cx="5732780" cy="1809345"/>
            <wp:effectExtent l="0" t="0" r="1270" b="635"/>
            <wp:wrapSquare wrapText="bothSides"/>
            <wp:docPr id="4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240707">
        <w:t xml:space="preserve">The national DP1-DPT3 dropout rate decreased from 11.9% in 2010 to 7.4% in 2015. Negative BCG-Measles dropout rate was recorded during the period, though there was an improvement from -28% in 2010 to -1% in 2015. (Refer </w:t>
      </w:r>
      <w:r w:rsidR="00016E20">
        <w:t xml:space="preserve">the </w:t>
      </w:r>
      <w:r w:rsidRPr="00240707">
        <w:t xml:space="preserve">figure </w:t>
      </w:r>
      <w:r>
        <w:t>below</w:t>
      </w:r>
      <w:r w:rsidRPr="00240707">
        <w:t>)</w:t>
      </w:r>
      <w:r w:rsidRPr="00240707">
        <w:rPr>
          <w:color w:val="FF0000"/>
        </w:rPr>
        <w:t xml:space="preserve">. </w:t>
      </w:r>
      <w:r w:rsidRPr="001847CC">
        <w:t xml:space="preserve">The </w:t>
      </w:r>
      <w:r>
        <w:t>a</w:t>
      </w:r>
      <w:r w:rsidRPr="001847CC">
        <w:t>nalysis of reported data on negative dr</w:t>
      </w:r>
      <w:r w:rsidRPr="001B6A35">
        <w:t>op-out highlighted existing problems in terms of data quality and accuracy of data related to the target population (denominator issue). Taking into account that the target population rates (denominators) are based on the 2006 census data and establish pop</w:t>
      </w:r>
      <w:r w:rsidRPr="00DF3854">
        <w:t>ulation growth rates, it is hoped that during the next census planned for 2018, these issues would</w:t>
      </w:r>
      <w:r w:rsidRPr="00CC61ED">
        <w:t xml:space="preserve"> be precisely addressed.</w:t>
      </w:r>
    </w:p>
    <w:p w14:paraId="5678CD04" w14:textId="2FF8F8D9" w:rsidR="00805AE9" w:rsidRDefault="00805AE9" w:rsidP="00595AB8">
      <w:pPr>
        <w:pStyle w:val="ListParagraph"/>
        <w:ind w:left="765"/>
        <w:rPr>
          <w:b/>
        </w:rPr>
      </w:pPr>
    </w:p>
    <w:p w14:paraId="24FED161" w14:textId="256701C9" w:rsidR="00987D8D" w:rsidRDefault="00805AE9" w:rsidP="00805AE9">
      <w:pPr>
        <w:pStyle w:val="ListParagraph"/>
        <w:ind w:left="0"/>
        <w:rPr>
          <w:b/>
        </w:rPr>
      </w:pPr>
      <w:r>
        <w:rPr>
          <w:b/>
        </w:rPr>
        <w:t xml:space="preserve">Why do these problems persist? </w:t>
      </w:r>
    </w:p>
    <w:p w14:paraId="4D7BEB42" w14:textId="2AE5F0D8" w:rsidR="00805AE9" w:rsidRDefault="00805AE9" w:rsidP="00805AE9">
      <w:pPr>
        <w:pStyle w:val="ListParagraph"/>
        <w:ind w:left="0"/>
        <w:rPr>
          <w:b/>
        </w:rPr>
      </w:pPr>
    </w:p>
    <w:p w14:paraId="7A0BB3D2" w14:textId="377EA66B" w:rsidR="00805AE9" w:rsidRPr="007A5F30" w:rsidRDefault="00805AE9" w:rsidP="00805AE9">
      <w:pPr>
        <w:spacing w:line="276" w:lineRule="auto"/>
        <w:jc w:val="both"/>
        <w:rPr>
          <w:rFonts w:cs="Arial"/>
        </w:rPr>
      </w:pPr>
      <w:r w:rsidRPr="007A5F30">
        <w:rPr>
          <w:rFonts w:cs="Arial"/>
          <w:b/>
        </w:rPr>
        <w:t>Denominator issue:</w:t>
      </w:r>
      <w:r>
        <w:rPr>
          <w:rFonts w:cs="Arial"/>
          <w:b/>
        </w:rPr>
        <w:t xml:space="preserve"> </w:t>
      </w:r>
      <w:r w:rsidRPr="007A5F30">
        <w:rPr>
          <w:rFonts w:cs="Arial"/>
        </w:rPr>
        <w:t xml:space="preserve">In response to the recurring concerns about the faulty target populations, in 2015, the ICC set up an inter-sectoral committee. This committee consisting of the NPHCDA, FMOH and the National Population Commission was charged to consider the denominator issue and advice on a way out. </w:t>
      </w:r>
      <w:r>
        <w:rPr>
          <w:rFonts w:cs="Arial"/>
        </w:rPr>
        <w:t>The</w:t>
      </w:r>
      <w:r w:rsidRPr="007A5F30">
        <w:rPr>
          <w:rFonts w:cs="Arial"/>
        </w:rPr>
        <w:t xml:space="preserve"> approaches to a</w:t>
      </w:r>
      <w:r w:rsidRPr="00375D25">
        <w:rPr>
          <w:rFonts w:cs="Arial"/>
        </w:rPr>
        <w:t>ddressing the denominator issue include</w:t>
      </w:r>
      <w:r w:rsidRPr="007A5F30">
        <w:rPr>
          <w:rFonts w:cs="Arial"/>
        </w:rPr>
        <w:t xml:space="preserve"> </w:t>
      </w:r>
      <w:r>
        <w:rPr>
          <w:rFonts w:cs="Arial"/>
        </w:rPr>
        <w:t xml:space="preserve">the Population estimation committee, </w:t>
      </w:r>
      <w:r w:rsidRPr="007A5F30">
        <w:rPr>
          <w:rFonts w:cs="Arial"/>
        </w:rPr>
        <w:t>the GIS mapping and the Walk-through micro</w:t>
      </w:r>
      <w:r>
        <w:rPr>
          <w:rFonts w:cs="Arial"/>
        </w:rPr>
        <w:t>-</w:t>
      </w:r>
      <w:r w:rsidRPr="007A5F30">
        <w:rPr>
          <w:rFonts w:cs="Arial"/>
        </w:rPr>
        <w:t>plan. GIS mapping is currently being applied in 2 states to assist in target population estimates. Efforts are on-going to scale up the GIS mapping to more states, while also applying other interventions to address denominator issues.</w:t>
      </w:r>
    </w:p>
    <w:p w14:paraId="7D1BAF01" w14:textId="090D3456" w:rsidR="00805AE9" w:rsidRDefault="00805AE9" w:rsidP="00805AE9">
      <w:pPr>
        <w:pStyle w:val="ListParagraph"/>
        <w:ind w:left="0"/>
        <w:rPr>
          <w:b/>
        </w:rPr>
      </w:pPr>
      <w:r w:rsidRPr="007A5F30">
        <w:rPr>
          <w:rFonts w:cs="Arial"/>
        </w:rPr>
        <w:t>Clearly, a few efforts are underway to address aspects of the data problem. However, there is yet no comprehensive evidence-based data quality improvement plan to tackle the likely multifaceted causes of poor data. It is against this backdrop that the RIWG constituted a data quality subcommittee to examine reasons for poor RI data quality and proffer recommendations to address the challenges</w:t>
      </w:r>
    </w:p>
    <w:p w14:paraId="03403465" w14:textId="5175E2D8" w:rsidR="00805AE9" w:rsidRDefault="00805AE9" w:rsidP="00595AB8">
      <w:pPr>
        <w:pStyle w:val="ListParagraph"/>
        <w:ind w:left="765"/>
        <w:rPr>
          <w:b/>
        </w:rPr>
      </w:pPr>
    </w:p>
    <w:p w14:paraId="328C67BD" w14:textId="4F748D62" w:rsidR="007F3017" w:rsidRDefault="007F3017" w:rsidP="00595AB8">
      <w:pPr>
        <w:pStyle w:val="ListParagraph"/>
        <w:ind w:left="765"/>
        <w:rPr>
          <w:b/>
        </w:rPr>
      </w:pPr>
    </w:p>
    <w:p w14:paraId="4560CCA1" w14:textId="2D972923" w:rsidR="007F3017" w:rsidRDefault="007F3017" w:rsidP="00595AB8">
      <w:pPr>
        <w:pStyle w:val="ListParagraph"/>
        <w:ind w:left="765"/>
        <w:rPr>
          <w:b/>
        </w:rPr>
      </w:pPr>
    </w:p>
    <w:p w14:paraId="1B11E5BB" w14:textId="18A6EB63" w:rsidR="007F3017" w:rsidRDefault="007F3017" w:rsidP="00595AB8">
      <w:pPr>
        <w:pStyle w:val="ListParagraph"/>
        <w:ind w:left="765"/>
        <w:rPr>
          <w:b/>
        </w:rPr>
      </w:pPr>
    </w:p>
    <w:p w14:paraId="56A0EE22" w14:textId="76DC7EE4" w:rsidR="007F3017" w:rsidRDefault="007F3017" w:rsidP="00595AB8">
      <w:pPr>
        <w:pStyle w:val="ListParagraph"/>
        <w:ind w:left="765"/>
        <w:rPr>
          <w:b/>
        </w:rPr>
      </w:pPr>
    </w:p>
    <w:p w14:paraId="03FCEA4A" w14:textId="18B4DD4C" w:rsidR="007F3017" w:rsidRDefault="007F3017" w:rsidP="00595AB8">
      <w:pPr>
        <w:pStyle w:val="ListParagraph"/>
        <w:ind w:left="765"/>
        <w:rPr>
          <w:b/>
        </w:rPr>
      </w:pPr>
    </w:p>
    <w:p w14:paraId="6D9A59DD" w14:textId="77777777" w:rsidR="007F3017" w:rsidRDefault="007F3017" w:rsidP="00595AB8">
      <w:pPr>
        <w:pStyle w:val="ListParagraph"/>
        <w:ind w:left="765"/>
        <w:rPr>
          <w:b/>
        </w:rPr>
      </w:pPr>
    </w:p>
    <w:p w14:paraId="1A7E5414" w14:textId="77777777" w:rsidR="00805AE9" w:rsidRDefault="00805AE9" w:rsidP="00595AB8">
      <w:pPr>
        <w:pStyle w:val="ListParagraph"/>
        <w:ind w:left="765"/>
        <w:rPr>
          <w:b/>
        </w:rPr>
      </w:pPr>
    </w:p>
    <w:p w14:paraId="2D43BA7C" w14:textId="0734A1AA" w:rsidR="00805AE9" w:rsidRDefault="00853E29" w:rsidP="007F3017">
      <w:pPr>
        <w:pStyle w:val="ListParagraph"/>
        <w:ind w:left="0"/>
        <w:rPr>
          <w:b/>
        </w:rPr>
      </w:pPr>
      <w:r>
        <w:rPr>
          <w:b/>
        </w:rPr>
        <w:t xml:space="preserve">Why </w:t>
      </w:r>
      <w:r w:rsidR="007F3017">
        <w:rPr>
          <w:b/>
        </w:rPr>
        <w:t>low-quality</w:t>
      </w:r>
      <w:r>
        <w:rPr>
          <w:b/>
        </w:rPr>
        <w:t xml:space="preserve"> data</w:t>
      </w:r>
      <w:r w:rsidR="007F3017">
        <w:rPr>
          <w:b/>
        </w:rPr>
        <w:t>?</w:t>
      </w:r>
    </w:p>
    <w:p w14:paraId="3FB785EF" w14:textId="55766866" w:rsidR="00987D8D" w:rsidRDefault="00987D8D" w:rsidP="00595AB8">
      <w:pPr>
        <w:pStyle w:val="ListParagraph"/>
        <w:ind w:left="765"/>
        <w:rPr>
          <w:b/>
        </w:rPr>
      </w:pPr>
    </w:p>
    <w:p w14:paraId="22EFB058" w14:textId="2EDB264F" w:rsidR="007F3017" w:rsidRPr="000031A8" w:rsidRDefault="007F3017" w:rsidP="007F3017">
      <w:pPr>
        <w:spacing w:line="276" w:lineRule="auto"/>
        <w:jc w:val="both"/>
        <w:rPr>
          <w:bCs/>
          <w:color w:val="008000"/>
        </w:rPr>
      </w:pPr>
      <w:r>
        <w:rPr>
          <w:bCs/>
          <w:lang w:val="en-GB"/>
        </w:rPr>
        <w:t>R</w:t>
      </w:r>
      <w:r w:rsidRPr="00CC61ED">
        <w:rPr>
          <w:bCs/>
          <w:lang w:val="en-GB"/>
        </w:rPr>
        <w:t xml:space="preserve">outine immunization </w:t>
      </w:r>
      <w:r w:rsidRPr="0057302A">
        <w:rPr>
          <w:bCs/>
          <w:lang w:val="en-GB"/>
        </w:rPr>
        <w:t>data quality issues can potentially arise from three areas: Data Quality Plan, Data Quality Policies and Data Quality Processes</w:t>
      </w:r>
      <w:r w:rsidRPr="00BE7B5C">
        <w:rPr>
          <w:bCs/>
          <w:color w:val="FF0000"/>
          <w:lang w:val="en-GB"/>
        </w:rPr>
        <w:t xml:space="preserve">. </w:t>
      </w:r>
      <w:r w:rsidRPr="00BE7B5C">
        <w:rPr>
          <w:bCs/>
          <w:lang w:val="en-GB"/>
        </w:rPr>
        <w:t xml:space="preserve">(Refer </w:t>
      </w:r>
      <w:r w:rsidR="00016E20">
        <w:rPr>
          <w:bCs/>
          <w:lang w:val="en-GB"/>
        </w:rPr>
        <w:t xml:space="preserve">to </w:t>
      </w:r>
      <w:r w:rsidRPr="00BE7B5C">
        <w:rPr>
          <w:bCs/>
          <w:lang w:val="en-GB"/>
        </w:rPr>
        <w:t>figure.</w:t>
      </w:r>
      <w:r w:rsidRPr="00BE7B5C">
        <w:rPr>
          <w:bCs/>
          <w:color w:val="FF0000"/>
          <w:lang w:val="en-GB"/>
        </w:rPr>
        <w:t xml:space="preserve"> </w:t>
      </w:r>
      <w:r w:rsidRPr="00BE7B5C">
        <w:rPr>
          <w:bCs/>
        </w:rPr>
        <w:t>All these issues contribute to either over and/or under</w:t>
      </w:r>
      <w:r w:rsidR="00016E20">
        <w:rPr>
          <w:bCs/>
        </w:rPr>
        <w:t>-</w:t>
      </w:r>
      <w:r w:rsidRPr="00BE7B5C">
        <w:rPr>
          <w:bCs/>
        </w:rPr>
        <w:t>reporting of the ac</w:t>
      </w:r>
      <w:r w:rsidRPr="0038758C">
        <w:rPr>
          <w:bCs/>
        </w:rPr>
        <w:t xml:space="preserve">tual number of clients reached (in most instances, </w:t>
      </w:r>
      <w:r w:rsidRPr="000031A8">
        <w:rPr>
          <w:bCs/>
        </w:rPr>
        <w:t>there is over</w:t>
      </w:r>
      <w:r w:rsidR="00016E20">
        <w:rPr>
          <w:bCs/>
        </w:rPr>
        <w:t>-</w:t>
      </w:r>
      <w:r w:rsidRPr="000031A8">
        <w:rPr>
          <w:bCs/>
        </w:rPr>
        <w:t>reporting of over 100% coverage).</w:t>
      </w:r>
    </w:p>
    <w:p w14:paraId="3A8FE74C" w14:textId="77777777" w:rsidR="007F3017" w:rsidRDefault="007F3017" w:rsidP="007F3017">
      <w:pPr>
        <w:pStyle w:val="ListParagraph"/>
        <w:ind w:left="0"/>
        <w:rPr>
          <w:b/>
        </w:rPr>
      </w:pPr>
    </w:p>
    <w:p w14:paraId="3BAF9AB0" w14:textId="77777777" w:rsidR="007F3017" w:rsidRDefault="007F3017" w:rsidP="007F3017">
      <w:pPr>
        <w:pStyle w:val="ListParagraph"/>
        <w:keepNext/>
        <w:ind w:left="765"/>
      </w:pPr>
      <w:r w:rsidRPr="000E463D">
        <w:rPr>
          <w:noProof/>
          <w:color w:val="008000"/>
          <w:lang w:val="en-GB" w:eastAsia="en-GB"/>
        </w:rPr>
        <w:drawing>
          <wp:inline distT="0" distB="0" distL="0" distR="0" wp14:anchorId="0C98B902" wp14:editId="59FE4456">
            <wp:extent cx="5592044" cy="215476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2625" cy="2154991"/>
                    </a:xfrm>
                    <a:prstGeom prst="rect">
                      <a:avLst/>
                    </a:prstGeom>
                    <a:noFill/>
                  </pic:spPr>
                </pic:pic>
              </a:graphicData>
            </a:graphic>
          </wp:inline>
        </w:drawing>
      </w:r>
    </w:p>
    <w:p w14:paraId="6D4E7C24" w14:textId="7A3E9DF9" w:rsidR="00853E29" w:rsidRPr="007F3017" w:rsidRDefault="007F3017" w:rsidP="007F3017">
      <w:pPr>
        <w:pStyle w:val="ListParagraph"/>
        <w:ind w:left="765"/>
        <w:jc w:val="center"/>
        <w:rPr>
          <w:b/>
          <w:sz w:val="20"/>
          <w:szCs w:val="20"/>
        </w:rPr>
      </w:pPr>
      <w:r w:rsidRPr="007F3017">
        <w:rPr>
          <w:b/>
          <w:sz w:val="20"/>
          <w:szCs w:val="20"/>
        </w:rPr>
        <w:t>Framework on data quality and issues affecting</w:t>
      </w:r>
    </w:p>
    <w:p w14:paraId="10275C68" w14:textId="2859619E" w:rsidR="007F3017" w:rsidRPr="00240707" w:rsidRDefault="007F3017" w:rsidP="007F3017">
      <w:pPr>
        <w:spacing w:line="276" w:lineRule="auto"/>
        <w:jc w:val="both"/>
      </w:pPr>
      <w:r>
        <w:rPr>
          <w:bCs/>
          <w:lang w:val="en-GB"/>
        </w:rPr>
        <w:t xml:space="preserve">A desk review undertaken by the </w:t>
      </w:r>
      <w:r w:rsidRPr="007D2AC9">
        <w:rPr>
          <w:bCs/>
          <w:lang w:val="en-GB"/>
        </w:rPr>
        <w:t xml:space="preserve">data quality subcommittee revealed that </w:t>
      </w:r>
      <w:r w:rsidRPr="00240707">
        <w:t>data quality in the country is affected by a multiplicity of factors (see figure) with key issues centered around:</w:t>
      </w:r>
    </w:p>
    <w:p w14:paraId="5110B87A" w14:textId="77777777" w:rsidR="007F3017" w:rsidRPr="001B6A35" w:rsidRDefault="007F3017" w:rsidP="007F3017">
      <w:pPr>
        <w:pStyle w:val="ListParagraph"/>
        <w:numPr>
          <w:ilvl w:val="0"/>
          <w:numId w:val="7"/>
        </w:numPr>
        <w:spacing w:line="276" w:lineRule="auto"/>
        <w:ind w:left="426" w:hanging="426"/>
        <w:jc w:val="both"/>
      </w:pPr>
      <w:r w:rsidRPr="001B6A35">
        <w:t>Data Quality Policies</w:t>
      </w:r>
    </w:p>
    <w:p w14:paraId="09821117" w14:textId="77777777" w:rsidR="007F3017" w:rsidRPr="00DF3854" w:rsidRDefault="007F3017" w:rsidP="007F3017">
      <w:pPr>
        <w:pStyle w:val="ListParagraph"/>
        <w:numPr>
          <w:ilvl w:val="0"/>
          <w:numId w:val="7"/>
        </w:numPr>
        <w:spacing w:line="276" w:lineRule="auto"/>
        <w:ind w:left="426" w:hanging="426"/>
        <w:jc w:val="both"/>
      </w:pPr>
      <w:r w:rsidRPr="00DF3854">
        <w:t>Data Quality Plan</w:t>
      </w:r>
    </w:p>
    <w:p w14:paraId="5DD660FE" w14:textId="77777777" w:rsidR="007F3017" w:rsidRPr="00DF3854" w:rsidRDefault="007F3017" w:rsidP="007F3017">
      <w:pPr>
        <w:pStyle w:val="ListParagraph"/>
        <w:numPr>
          <w:ilvl w:val="0"/>
          <w:numId w:val="7"/>
        </w:numPr>
        <w:spacing w:line="276" w:lineRule="auto"/>
        <w:ind w:left="426" w:hanging="426"/>
        <w:jc w:val="both"/>
      </w:pPr>
      <w:r w:rsidRPr="00DF3854">
        <w:t>Data Quality Processes</w:t>
      </w:r>
    </w:p>
    <w:p w14:paraId="0453CE9D" w14:textId="0802B7BA" w:rsidR="007F3017" w:rsidRPr="00CC61ED" w:rsidRDefault="007F3017" w:rsidP="007F3017">
      <w:pPr>
        <w:pStyle w:val="ListParagraph"/>
        <w:numPr>
          <w:ilvl w:val="0"/>
          <w:numId w:val="7"/>
        </w:numPr>
        <w:spacing w:line="276" w:lineRule="auto"/>
        <w:ind w:left="426" w:hanging="426"/>
        <w:jc w:val="both"/>
      </w:pPr>
      <w:r w:rsidRPr="00CC61ED">
        <w:t>Human Resource Capacity, Management</w:t>
      </w:r>
      <w:r w:rsidR="00016E20">
        <w:t>,</w:t>
      </w:r>
      <w:r w:rsidRPr="00CC61ED">
        <w:t xml:space="preserve"> and Organization</w:t>
      </w:r>
    </w:p>
    <w:p w14:paraId="1E2A0473" w14:textId="77777777" w:rsidR="007F3017" w:rsidRPr="00CC61ED" w:rsidRDefault="007F3017" w:rsidP="007F3017">
      <w:pPr>
        <w:pStyle w:val="ListParagraph"/>
        <w:numPr>
          <w:ilvl w:val="0"/>
          <w:numId w:val="7"/>
        </w:numPr>
        <w:spacing w:line="276" w:lineRule="auto"/>
        <w:ind w:left="426" w:hanging="426"/>
        <w:jc w:val="both"/>
      </w:pPr>
      <w:r w:rsidRPr="00CC61ED">
        <w:t xml:space="preserve">Tools and Technology </w:t>
      </w:r>
    </w:p>
    <w:p w14:paraId="4CF97815" w14:textId="77777777" w:rsidR="007F3017" w:rsidRPr="0057302A" w:rsidRDefault="007F3017" w:rsidP="007F3017">
      <w:pPr>
        <w:pStyle w:val="ListParagraph"/>
        <w:numPr>
          <w:ilvl w:val="0"/>
          <w:numId w:val="7"/>
        </w:numPr>
        <w:spacing w:line="276" w:lineRule="auto"/>
        <w:ind w:left="426" w:hanging="426"/>
        <w:jc w:val="both"/>
      </w:pPr>
      <w:r w:rsidRPr="0057302A">
        <w:t>Monitoring and use of data for decision making</w:t>
      </w:r>
    </w:p>
    <w:p w14:paraId="1980A256" w14:textId="77777777" w:rsidR="007F3017" w:rsidRPr="00240707" w:rsidRDefault="007F3017" w:rsidP="007F3017">
      <w:pPr>
        <w:pStyle w:val="ListParagraph"/>
        <w:numPr>
          <w:ilvl w:val="0"/>
          <w:numId w:val="7"/>
        </w:numPr>
        <w:spacing w:line="276" w:lineRule="auto"/>
        <w:ind w:left="426" w:hanging="426"/>
        <w:jc w:val="both"/>
      </w:pPr>
      <w:r w:rsidRPr="00BE7B5C">
        <w:t>Data Warehousing</w:t>
      </w:r>
    </w:p>
    <w:p w14:paraId="6FC25902" w14:textId="15A7DB84" w:rsidR="00853E29" w:rsidRDefault="00853E29" w:rsidP="00595AB8">
      <w:pPr>
        <w:pStyle w:val="ListParagraph"/>
        <w:ind w:left="765"/>
        <w:rPr>
          <w:b/>
        </w:rPr>
      </w:pPr>
    </w:p>
    <w:p w14:paraId="639D16CA" w14:textId="3570BEF2" w:rsidR="007F3017" w:rsidRDefault="007F3017" w:rsidP="007F3017">
      <w:pPr>
        <w:pStyle w:val="ListParagraph"/>
        <w:ind w:left="0"/>
        <w:rPr>
          <w:bCs/>
        </w:rPr>
      </w:pPr>
      <w:r w:rsidRPr="003E07D1">
        <w:rPr>
          <w:bCs/>
        </w:rPr>
        <w:t>In addition to the identified issues, poor data quality, weak data management and lack of data use for action at the operational level are widely acknowledged problems in the RI system. Not much of triangulation is done between the administrative and coverage data for decision making in the reports presented. Surveillance and logistics components are not routinely included in the RI performance reports. And, there is currently no strategic data quality plan in line with other plans; and having clear timelines.</w:t>
      </w:r>
    </w:p>
    <w:p w14:paraId="415A179D" w14:textId="3848C9BD" w:rsidR="007F3017" w:rsidRDefault="007F3017" w:rsidP="007F3017">
      <w:pPr>
        <w:pStyle w:val="ListParagraph"/>
        <w:ind w:left="0"/>
        <w:rPr>
          <w:bCs/>
        </w:rPr>
      </w:pPr>
    </w:p>
    <w:p w14:paraId="5B701A1F" w14:textId="6A661E1C" w:rsidR="007F3017" w:rsidRDefault="007F3017" w:rsidP="007F3017">
      <w:pPr>
        <w:pStyle w:val="ListParagraph"/>
        <w:ind w:left="0"/>
        <w:rPr>
          <w:b/>
        </w:rPr>
      </w:pPr>
      <w:r w:rsidRPr="000E463D">
        <w:rPr>
          <w:b/>
          <w:noProof/>
          <w:color w:val="008000"/>
          <w:lang w:val="en-GB" w:eastAsia="en-GB"/>
        </w:rPr>
        <w:lastRenderedPageBreak/>
        <w:drawing>
          <wp:inline distT="0" distB="0" distL="0" distR="0" wp14:anchorId="6A9E0304" wp14:editId="4AE6B168">
            <wp:extent cx="5941695" cy="3018367"/>
            <wp:effectExtent l="0" t="0" r="1905"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019335"/>
                    </a:xfrm>
                    <a:prstGeom prst="rect">
                      <a:avLst/>
                    </a:prstGeom>
                    <a:noFill/>
                  </pic:spPr>
                </pic:pic>
              </a:graphicData>
            </a:graphic>
          </wp:inline>
        </w:drawing>
      </w:r>
    </w:p>
    <w:p w14:paraId="0B5D706B" w14:textId="1AAE672E" w:rsidR="00853E29" w:rsidRDefault="00853E29" w:rsidP="007F3017">
      <w:pPr>
        <w:pStyle w:val="ListParagraph"/>
        <w:ind w:left="0"/>
        <w:rPr>
          <w:b/>
        </w:rPr>
      </w:pPr>
    </w:p>
    <w:p w14:paraId="351C9102" w14:textId="77777777" w:rsidR="00492036" w:rsidRPr="001A2A42" w:rsidRDefault="00492036" w:rsidP="00492036">
      <w:pPr>
        <w:pStyle w:val="ListParagraph"/>
        <w:numPr>
          <w:ilvl w:val="0"/>
          <w:numId w:val="8"/>
        </w:numPr>
        <w:spacing w:line="276" w:lineRule="auto"/>
        <w:ind w:left="426"/>
        <w:jc w:val="both"/>
      </w:pPr>
      <w:r w:rsidRPr="001A2A42">
        <w:t>Lack of internal and external accountability for data quality</w:t>
      </w:r>
    </w:p>
    <w:p w14:paraId="23F3D418" w14:textId="77777777" w:rsidR="00492036" w:rsidRPr="001A2A42" w:rsidRDefault="00492036" w:rsidP="00492036">
      <w:pPr>
        <w:pStyle w:val="ListParagraph"/>
        <w:numPr>
          <w:ilvl w:val="0"/>
          <w:numId w:val="8"/>
        </w:numPr>
        <w:spacing w:line="276" w:lineRule="auto"/>
        <w:ind w:left="426"/>
        <w:jc w:val="both"/>
      </w:pPr>
      <w:r w:rsidRPr="001A2A42">
        <w:t>Multiple data collating levels which create more room for errors</w:t>
      </w:r>
    </w:p>
    <w:p w14:paraId="5C1C5271" w14:textId="77777777" w:rsidR="00492036" w:rsidRPr="001A2A42" w:rsidRDefault="00492036" w:rsidP="00492036">
      <w:pPr>
        <w:pStyle w:val="ListParagraph"/>
        <w:numPr>
          <w:ilvl w:val="0"/>
          <w:numId w:val="8"/>
        </w:numPr>
        <w:spacing w:line="276" w:lineRule="auto"/>
        <w:ind w:left="426"/>
        <w:jc w:val="both"/>
      </w:pPr>
      <w:r w:rsidRPr="001A2A42">
        <w:t>Lack of an effective data quality assurance process</w:t>
      </w:r>
    </w:p>
    <w:p w14:paraId="45939BF5" w14:textId="77777777" w:rsidR="00492036" w:rsidRPr="001A2A42" w:rsidRDefault="00492036" w:rsidP="00492036">
      <w:pPr>
        <w:pStyle w:val="ListParagraph"/>
        <w:numPr>
          <w:ilvl w:val="0"/>
          <w:numId w:val="8"/>
        </w:numPr>
        <w:spacing w:line="276" w:lineRule="auto"/>
        <w:ind w:left="426"/>
        <w:jc w:val="both"/>
      </w:pPr>
      <w:r w:rsidRPr="001A2A42">
        <w:t>Lack of feedback from national to state to LGA to health facility</w:t>
      </w:r>
    </w:p>
    <w:p w14:paraId="4AD2D6DA" w14:textId="77777777" w:rsidR="00492036" w:rsidRPr="001A2A42" w:rsidRDefault="00492036" w:rsidP="00492036">
      <w:pPr>
        <w:pStyle w:val="ListParagraph"/>
        <w:numPr>
          <w:ilvl w:val="0"/>
          <w:numId w:val="8"/>
        </w:numPr>
        <w:spacing w:line="276" w:lineRule="auto"/>
        <w:ind w:left="426"/>
        <w:jc w:val="both"/>
      </w:pPr>
      <w:r w:rsidRPr="001A2A42">
        <w:t>Poor support mechanisms. DQS is heavily dependent on donor funding with weak implementation of results</w:t>
      </w:r>
    </w:p>
    <w:p w14:paraId="158942AA" w14:textId="77777777" w:rsidR="00492036" w:rsidRPr="002855C1" w:rsidRDefault="00492036" w:rsidP="00492036">
      <w:pPr>
        <w:pStyle w:val="ListParagraph"/>
        <w:numPr>
          <w:ilvl w:val="0"/>
          <w:numId w:val="8"/>
        </w:numPr>
        <w:spacing w:line="276" w:lineRule="auto"/>
        <w:ind w:left="426"/>
        <w:jc w:val="both"/>
        <w:rPr>
          <w:b/>
        </w:rPr>
      </w:pPr>
      <w:r w:rsidRPr="001A2A42">
        <w:t>Poor supportive supervision</w:t>
      </w:r>
    </w:p>
    <w:p w14:paraId="2FB90CEE" w14:textId="17F14BF5" w:rsidR="00853E29" w:rsidRDefault="00853E29" w:rsidP="00595AB8">
      <w:pPr>
        <w:pStyle w:val="ListParagraph"/>
        <w:ind w:left="765"/>
        <w:rPr>
          <w:b/>
        </w:rPr>
      </w:pPr>
    </w:p>
    <w:p w14:paraId="1EFBBCAA" w14:textId="77777777" w:rsidR="00492036" w:rsidRDefault="00492036" w:rsidP="00595AB8">
      <w:pPr>
        <w:pStyle w:val="ListParagraph"/>
        <w:ind w:left="765"/>
        <w:rPr>
          <w:b/>
        </w:rPr>
      </w:pPr>
    </w:p>
    <w:p w14:paraId="002997FC" w14:textId="77777777" w:rsidR="007F3017" w:rsidRDefault="007F3017" w:rsidP="00595AB8">
      <w:pPr>
        <w:pStyle w:val="ListParagraph"/>
        <w:ind w:left="765"/>
        <w:rPr>
          <w:b/>
        </w:rPr>
      </w:pPr>
    </w:p>
    <w:p w14:paraId="761A7B42" w14:textId="6931C94B" w:rsidR="00595AB8" w:rsidRDefault="00853E29" w:rsidP="00595AB8">
      <w:pPr>
        <w:pStyle w:val="ListParagraph"/>
        <w:ind w:left="765"/>
        <w:rPr>
          <w:b/>
          <w:bCs/>
        </w:rPr>
      </w:pPr>
      <w:r>
        <w:t xml:space="preserve">                                         </w:t>
      </w:r>
      <w:r w:rsidRPr="00853E29">
        <w:rPr>
          <w:b/>
          <w:bCs/>
        </w:rPr>
        <w:t xml:space="preserve"> ACTIONABLE RECOMMENDATIONS</w:t>
      </w:r>
    </w:p>
    <w:p w14:paraId="36044359" w14:textId="56B85B50" w:rsidR="00853E29" w:rsidRDefault="00853E29" w:rsidP="00595AB8">
      <w:pPr>
        <w:pStyle w:val="ListParagraph"/>
        <w:ind w:left="765"/>
        <w:rPr>
          <w:b/>
          <w:bCs/>
        </w:rPr>
      </w:pPr>
    </w:p>
    <w:p w14:paraId="7993F1D0" w14:textId="77777777" w:rsidR="007F3017" w:rsidRDefault="007F3017" w:rsidP="007F3017">
      <w:pPr>
        <w:pStyle w:val="ListParagraph"/>
        <w:rPr>
          <w:b/>
          <w:bCs/>
        </w:rPr>
      </w:pPr>
    </w:p>
    <w:p w14:paraId="263B688C" w14:textId="77777777" w:rsidR="00D809C8" w:rsidRPr="001A2A42" w:rsidRDefault="00D809C8" w:rsidP="00D809C8">
      <w:pPr>
        <w:pStyle w:val="ListParagraph"/>
        <w:numPr>
          <w:ilvl w:val="0"/>
          <w:numId w:val="9"/>
        </w:numPr>
        <w:spacing w:line="276" w:lineRule="auto"/>
        <w:ind w:left="426"/>
      </w:pPr>
      <w:r w:rsidRPr="001A2A42">
        <w:t>Policy resistance to adjusting population denominator and numerator issues to fit program reality:</w:t>
      </w:r>
    </w:p>
    <w:p w14:paraId="625596DA" w14:textId="1B096715" w:rsidR="00853E29" w:rsidRDefault="00D809C8" w:rsidP="00D66935">
      <w:pPr>
        <w:pStyle w:val="ListParagraph"/>
        <w:ind w:left="426"/>
      </w:pPr>
      <w:r w:rsidRPr="001A2A42">
        <w:t>Denominator Issues: Immunization coverage estimates in Nigeria are based on 2006 Census projections; the census Estimates are based on fixed GRs, fixed proportion of age groups which we do know are correct</w:t>
      </w:r>
      <w:r w:rsidR="00016E20">
        <w:t>,</w:t>
      </w:r>
      <w:r w:rsidRPr="00D809C8">
        <w:t xml:space="preserve"> </w:t>
      </w:r>
      <w:r w:rsidRPr="001A2A42">
        <w:t xml:space="preserve">and since census figures stopped only at LGA levels wards populations can only be extrapolated with </w:t>
      </w:r>
      <w:r w:rsidR="00016E20">
        <w:t xml:space="preserve">the </w:t>
      </w:r>
      <w:r w:rsidRPr="001A2A42">
        <w:t>potential of huge bias.</w:t>
      </w:r>
    </w:p>
    <w:p w14:paraId="76FDA062" w14:textId="52C4509E" w:rsidR="00D809C8" w:rsidRDefault="00D809C8" w:rsidP="00D66935">
      <w:pPr>
        <w:pStyle w:val="ListParagraph"/>
        <w:ind w:left="426"/>
      </w:pPr>
      <w:r w:rsidRPr="001A2A42">
        <w:t xml:space="preserve">Numerator issues: At Facility level (capacity, time and attitude of health workers and resource challenge); and at </w:t>
      </w:r>
      <w:r w:rsidR="00016E20">
        <w:t xml:space="preserve">the </w:t>
      </w:r>
      <w:r w:rsidRPr="001A2A42">
        <w:t>system level (pressure to meet up target, accountability issues, inadequate resources, poor coordination leading duplicity, complex reporting system).</w:t>
      </w:r>
    </w:p>
    <w:p w14:paraId="3624BC52" w14:textId="17AA51B0" w:rsidR="00D809C8" w:rsidRDefault="00D809C8" w:rsidP="00D66935">
      <w:pPr>
        <w:pStyle w:val="ListParagraph"/>
        <w:spacing w:line="276" w:lineRule="auto"/>
        <w:ind w:left="426"/>
      </w:pPr>
      <w:r w:rsidRPr="001A2A42">
        <w:t>Beyond the system, socio-political issues (population dynamics); Governance and ownership issue; and poor integration of private health sector providers</w:t>
      </w:r>
    </w:p>
    <w:p w14:paraId="7C0C8A00" w14:textId="081723A1" w:rsidR="0009116E" w:rsidRDefault="0009116E" w:rsidP="0009116E">
      <w:pPr>
        <w:pStyle w:val="ListParagraph"/>
        <w:spacing w:line="276" w:lineRule="auto"/>
        <w:ind w:left="765"/>
      </w:pPr>
    </w:p>
    <w:p w14:paraId="7ABE9440" w14:textId="77777777" w:rsidR="0009116E" w:rsidRPr="00B74959" w:rsidRDefault="0009116E" w:rsidP="0009116E">
      <w:pPr>
        <w:pStyle w:val="ListParagraph"/>
        <w:spacing w:line="276" w:lineRule="auto"/>
        <w:ind w:left="765"/>
      </w:pPr>
    </w:p>
    <w:p w14:paraId="5E597B77" w14:textId="4B1A5AD1" w:rsidR="00D809C8" w:rsidRDefault="00D809C8" w:rsidP="00D809C8">
      <w:pPr>
        <w:pStyle w:val="ListParagraph"/>
        <w:ind w:left="765"/>
        <w:rPr>
          <w:b/>
          <w:bCs/>
        </w:rPr>
      </w:pPr>
    </w:p>
    <w:p w14:paraId="2FAE6235" w14:textId="7F4A08CF" w:rsidR="0009116E" w:rsidRPr="001A2A42" w:rsidRDefault="0009116E" w:rsidP="0009116E">
      <w:pPr>
        <w:pStyle w:val="ListParagraph"/>
        <w:numPr>
          <w:ilvl w:val="0"/>
          <w:numId w:val="9"/>
        </w:numPr>
        <w:spacing w:line="276" w:lineRule="auto"/>
        <w:ind w:left="426"/>
        <w:jc w:val="both"/>
      </w:pPr>
      <w:r>
        <w:lastRenderedPageBreak/>
        <w:t>Good</w:t>
      </w:r>
      <w:r w:rsidRPr="001A2A42">
        <w:t xml:space="preserve"> feedback to lower levels following </w:t>
      </w:r>
      <w:r w:rsidR="00016E20">
        <w:t xml:space="preserve">the </w:t>
      </w:r>
      <w:r w:rsidRPr="001A2A42">
        <w:t>conduct of data quality self-assessment</w:t>
      </w:r>
      <w:r>
        <w:t>.</w:t>
      </w:r>
    </w:p>
    <w:p w14:paraId="4FFA53B5" w14:textId="5640F9FD" w:rsidR="0009116E" w:rsidRPr="001A2A42" w:rsidRDefault="0009116E" w:rsidP="0009116E">
      <w:pPr>
        <w:pStyle w:val="ListParagraph"/>
        <w:numPr>
          <w:ilvl w:val="0"/>
          <w:numId w:val="9"/>
        </w:numPr>
        <w:spacing w:line="276" w:lineRule="auto"/>
        <w:ind w:left="426"/>
        <w:jc w:val="both"/>
      </w:pPr>
      <w:r w:rsidRPr="001A2A42">
        <w:t xml:space="preserve">Frequency of conduct of DQS is regular at all levels, with </w:t>
      </w:r>
      <w:r w:rsidR="00016E20">
        <w:t xml:space="preserve">the </w:t>
      </w:r>
      <w:r w:rsidRPr="001A2A42">
        <w:t>low implementation of recommendations</w:t>
      </w:r>
      <w:r>
        <w:t>.</w:t>
      </w:r>
    </w:p>
    <w:p w14:paraId="516A3965" w14:textId="681DC5BD" w:rsidR="0009116E" w:rsidRPr="001A2A42" w:rsidRDefault="0009116E" w:rsidP="0009116E">
      <w:pPr>
        <w:pStyle w:val="ListParagraph"/>
        <w:numPr>
          <w:ilvl w:val="0"/>
          <w:numId w:val="9"/>
        </w:numPr>
        <w:spacing w:line="276" w:lineRule="auto"/>
        <w:ind w:left="426"/>
        <w:jc w:val="both"/>
      </w:pPr>
      <w:r>
        <w:t>Strong</w:t>
      </w:r>
      <w:r w:rsidRPr="001A2A42">
        <w:t xml:space="preserve"> linkage between actual surveillance and coverage data.</w:t>
      </w:r>
    </w:p>
    <w:p w14:paraId="7328AE15" w14:textId="470C7782" w:rsidR="0009116E" w:rsidRPr="001A2A42" w:rsidRDefault="0009116E" w:rsidP="0009116E">
      <w:pPr>
        <w:pStyle w:val="ListParagraph"/>
        <w:numPr>
          <w:ilvl w:val="0"/>
          <w:numId w:val="9"/>
        </w:numPr>
        <w:spacing w:line="276" w:lineRule="auto"/>
        <w:ind w:left="426"/>
        <w:jc w:val="both"/>
      </w:pPr>
      <w:r>
        <w:t>A</w:t>
      </w:r>
      <w:r w:rsidRPr="001A2A42">
        <w:t>vailability of a coordinated guideline for EPI related survey</w:t>
      </w:r>
      <w:r>
        <w:t>.</w:t>
      </w:r>
    </w:p>
    <w:p w14:paraId="7AAB4606" w14:textId="6E28991F" w:rsidR="0009116E" w:rsidRPr="001A2A42" w:rsidRDefault="0009116E" w:rsidP="0009116E">
      <w:pPr>
        <w:pStyle w:val="ListParagraph"/>
        <w:numPr>
          <w:ilvl w:val="0"/>
          <w:numId w:val="9"/>
        </w:numPr>
        <w:spacing w:line="276" w:lineRule="auto"/>
        <w:ind w:left="426"/>
        <w:jc w:val="both"/>
      </w:pPr>
      <w:r w:rsidRPr="001A2A42">
        <w:t xml:space="preserve">Resources </w:t>
      </w:r>
      <w:r>
        <w:t>availability</w:t>
      </w:r>
      <w:r w:rsidRPr="001A2A42">
        <w:t xml:space="preserve"> of sustainability plan</w:t>
      </w:r>
      <w:r>
        <w:t xml:space="preserve"> </w:t>
      </w:r>
      <w:r w:rsidRPr="001A2A42">
        <w:t>for HMIS related activities in the country</w:t>
      </w:r>
      <w:r>
        <w:t>.</w:t>
      </w:r>
    </w:p>
    <w:p w14:paraId="345245DD" w14:textId="42BE1CD7" w:rsidR="0009116E" w:rsidRPr="0009116E" w:rsidRDefault="0009116E" w:rsidP="0009116E">
      <w:pPr>
        <w:spacing w:line="276" w:lineRule="auto"/>
        <w:jc w:val="both"/>
        <w:rPr>
          <w:b/>
          <w:i/>
        </w:rPr>
      </w:pPr>
      <w:r w:rsidRPr="001A2A42">
        <w:rPr>
          <w:b/>
        </w:rPr>
        <w:t xml:space="preserve"> Data Quality Plan</w:t>
      </w:r>
      <w:r w:rsidRPr="001A2A42">
        <w:rPr>
          <w:b/>
          <w:i/>
        </w:rPr>
        <w:t>:</w:t>
      </w:r>
    </w:p>
    <w:p w14:paraId="534F0261" w14:textId="7F255B3E" w:rsidR="0009116E" w:rsidRPr="001A2A42" w:rsidRDefault="0009116E" w:rsidP="0009116E">
      <w:pPr>
        <w:spacing w:line="276" w:lineRule="auto"/>
        <w:jc w:val="both"/>
      </w:pPr>
      <w:r w:rsidRPr="001A2A42">
        <w:t xml:space="preserve">A data quality plan outlines key actions, timelines and responsibilities in the implementation of outlined interventions. Prior to now, Nigeria is yet to have a holistic data quality improvement plan in line with other plans; and having clear timelines. Consequently, data quality improvement efforts have been implemented </w:t>
      </w:r>
      <w:proofErr w:type="spellStart"/>
      <w:r w:rsidR="00016E20">
        <w:t>A</w:t>
      </w:r>
      <w:r w:rsidRPr="001A2A42">
        <w:t>dhoc</w:t>
      </w:r>
      <w:proofErr w:type="spellEnd"/>
      <w:r w:rsidRPr="001A2A42">
        <w:t xml:space="preserve"> with low follow up on outlined recommendations.</w:t>
      </w:r>
    </w:p>
    <w:p w14:paraId="7997B584" w14:textId="5860CA28" w:rsidR="0009116E" w:rsidRPr="0009116E" w:rsidRDefault="0009116E" w:rsidP="0009116E">
      <w:pPr>
        <w:spacing w:line="276" w:lineRule="auto"/>
        <w:jc w:val="both"/>
        <w:rPr>
          <w:b/>
        </w:rPr>
      </w:pPr>
      <w:r w:rsidRPr="001A2A42">
        <w:rPr>
          <w:b/>
        </w:rPr>
        <w:t>Data Quality Processes:</w:t>
      </w:r>
    </w:p>
    <w:p w14:paraId="05EC461C" w14:textId="1014370F" w:rsidR="007F3017" w:rsidRDefault="0009116E" w:rsidP="0009116E">
      <w:r w:rsidRPr="001A2A42">
        <w:t xml:space="preserve">Support </w:t>
      </w:r>
      <w:r w:rsidR="00016E20">
        <w:t>for</w:t>
      </w:r>
      <w:r w:rsidRPr="001A2A42">
        <w:t xml:space="preserve"> improving data quality has usually been implemented through the Government, which ensures the country has the required infrastructure including data tools. Of key importance in assessing data quality are scheduled data quality self-assessments (DQS). Government staff at national and subnational levels usually conducts this with support from partners.</w:t>
      </w:r>
    </w:p>
    <w:p w14:paraId="49300961" w14:textId="729100E1" w:rsidR="00BE3D1A" w:rsidRPr="001A2A42" w:rsidRDefault="00BE3D1A" w:rsidP="00BE3D1A">
      <w:pPr>
        <w:spacing w:line="276" w:lineRule="auto"/>
        <w:jc w:val="both"/>
        <w:rPr>
          <w:b/>
        </w:rPr>
      </w:pPr>
      <w:r w:rsidRPr="001A2A42">
        <w:rPr>
          <w:b/>
        </w:rPr>
        <w:t>4. Human Resource Capacity, Management</w:t>
      </w:r>
      <w:r w:rsidR="00016E20">
        <w:rPr>
          <w:b/>
        </w:rPr>
        <w:t>,</w:t>
      </w:r>
      <w:r w:rsidRPr="001A2A42">
        <w:rPr>
          <w:b/>
        </w:rPr>
        <w:t xml:space="preserve"> and Organization:</w:t>
      </w:r>
    </w:p>
    <w:p w14:paraId="269E3522" w14:textId="002AC16A" w:rsidR="00BE3D1A" w:rsidRPr="00240707" w:rsidRDefault="00BE3D1A" w:rsidP="00BE3D1A">
      <w:pPr>
        <w:spacing w:line="276" w:lineRule="auto"/>
        <w:jc w:val="both"/>
        <w:rPr>
          <w:sz w:val="12"/>
          <w:szCs w:val="12"/>
        </w:rPr>
      </w:pPr>
    </w:p>
    <w:p w14:paraId="1E691C6A" w14:textId="3FDBAE0D" w:rsidR="00BE3D1A" w:rsidRPr="00240707" w:rsidRDefault="00BE3D1A" w:rsidP="00BE3D1A">
      <w:pPr>
        <w:pStyle w:val="ListParagraph"/>
        <w:numPr>
          <w:ilvl w:val="0"/>
          <w:numId w:val="10"/>
        </w:numPr>
        <w:spacing w:line="276" w:lineRule="auto"/>
        <w:ind w:left="426"/>
        <w:jc w:val="both"/>
      </w:pPr>
      <w:r>
        <w:t>Good</w:t>
      </w:r>
      <w:r w:rsidRPr="00240707">
        <w:t xml:space="preserve"> knowledge of </w:t>
      </w:r>
      <w:r w:rsidR="00016E20">
        <w:t xml:space="preserve">the </w:t>
      </w:r>
      <w:r w:rsidRPr="00240707">
        <w:t xml:space="preserve">use of tools, both paper and electronic. Contributing to these are: </w:t>
      </w:r>
    </w:p>
    <w:p w14:paraId="4173D7CA" w14:textId="77777777" w:rsidR="00BE3D1A" w:rsidRPr="00240707" w:rsidRDefault="00BE3D1A" w:rsidP="00BE3D1A">
      <w:pPr>
        <w:pStyle w:val="ListParagraph"/>
        <w:numPr>
          <w:ilvl w:val="0"/>
          <w:numId w:val="11"/>
        </w:numPr>
        <w:spacing w:line="276" w:lineRule="auto"/>
        <w:jc w:val="both"/>
      </w:pPr>
      <w:r w:rsidRPr="00240707">
        <w:t>Poor practice and protocols for data entry; and</w:t>
      </w:r>
    </w:p>
    <w:p w14:paraId="142A2C96" w14:textId="69B0FB5E" w:rsidR="00BE3D1A" w:rsidRPr="00DF3854" w:rsidRDefault="00BE3D1A" w:rsidP="00BE3D1A">
      <w:pPr>
        <w:pStyle w:val="ListParagraph"/>
        <w:numPr>
          <w:ilvl w:val="0"/>
          <w:numId w:val="11"/>
        </w:numPr>
        <w:spacing w:line="276" w:lineRule="auto"/>
        <w:jc w:val="both"/>
      </w:pPr>
      <w:r w:rsidRPr="00240707">
        <w:t xml:space="preserve">Poor understanding of basic analytics such as coverage and drop out </w:t>
      </w:r>
      <w:r w:rsidR="00016E20">
        <w:t xml:space="preserve">the </w:t>
      </w:r>
      <w:r w:rsidRPr="00240707">
        <w:t xml:space="preserve">calculation and of data </w:t>
      </w:r>
      <w:r w:rsidRPr="001847CC">
        <w:t>interpretation</w:t>
      </w:r>
      <w:r w:rsidRPr="001B6A35">
        <w:t xml:space="preserve">. </w:t>
      </w:r>
    </w:p>
    <w:p w14:paraId="30FD45EB" w14:textId="5FBC2A6E" w:rsidR="00BE3D1A" w:rsidRPr="00BE7B5C" w:rsidRDefault="00016E20" w:rsidP="00BE3D1A">
      <w:pPr>
        <w:pStyle w:val="ListParagraph"/>
        <w:numPr>
          <w:ilvl w:val="0"/>
          <w:numId w:val="10"/>
        </w:numPr>
        <w:spacing w:line="276" w:lineRule="auto"/>
        <w:ind w:left="426"/>
        <w:jc w:val="both"/>
      </w:pPr>
      <w:r>
        <w:t>The m</w:t>
      </w:r>
      <w:r w:rsidR="00BE3D1A">
        <w:t>oral</w:t>
      </w:r>
      <w:r w:rsidR="00BE3D1A" w:rsidRPr="00DF3854">
        <w:t xml:space="preserve"> attitude of health workers and EPI managers on data collation. These contribute to </w:t>
      </w:r>
      <w:r w:rsidR="00BE3D1A" w:rsidRPr="00CC61ED">
        <w:rPr>
          <w:rFonts w:cs="Arial"/>
        </w:rPr>
        <w:t xml:space="preserve">accurate reporting, </w:t>
      </w:r>
      <w:r w:rsidR="00BE3D1A">
        <w:t>good</w:t>
      </w:r>
      <w:r w:rsidR="00BE3D1A" w:rsidRPr="00CC61ED">
        <w:t xml:space="preserve"> data capturing complete submission of i</w:t>
      </w:r>
      <w:r w:rsidR="00BE3D1A" w:rsidRPr="0057302A">
        <w:t>mmunization data from the</w:t>
      </w:r>
      <w:r w:rsidR="00BE3D1A" w:rsidRPr="0057302A">
        <w:rPr>
          <w:rFonts w:cs="Arial"/>
        </w:rPr>
        <w:t xml:space="preserve"> HFs/LGAs. </w:t>
      </w:r>
      <w:r w:rsidR="00BE3D1A" w:rsidRPr="0057302A">
        <w:rPr>
          <w:rFonts w:cs="Times New Roman"/>
        </w:rPr>
        <w:t>A deep dive field assessment conducted in October 2016 revealed consistencies in the data reported at each level with deliberate alterations of data observed in some sites.</w:t>
      </w:r>
    </w:p>
    <w:p w14:paraId="7F701086" w14:textId="660D08AD" w:rsidR="00BE3D1A" w:rsidRPr="00566F5D" w:rsidRDefault="00BE3D1A" w:rsidP="00BE3D1A">
      <w:pPr>
        <w:pStyle w:val="ListParagraph"/>
        <w:numPr>
          <w:ilvl w:val="0"/>
          <w:numId w:val="10"/>
        </w:numPr>
        <w:spacing w:line="276" w:lineRule="auto"/>
        <w:ind w:left="426"/>
        <w:jc w:val="both"/>
      </w:pPr>
      <w:r>
        <w:t>good</w:t>
      </w:r>
      <w:r w:rsidRPr="00BE7B5C">
        <w:t xml:space="preserve"> </w:t>
      </w:r>
      <w:r>
        <w:t>a</w:t>
      </w:r>
      <w:r w:rsidRPr="00BE7B5C">
        <w:t>ttitude by frontline health care workers to use data for action (e.g. to track and immunize children) leads to a substantial number of immunized children, drop-</w:t>
      </w:r>
      <w:r w:rsidRPr="0038758C">
        <w:t xml:space="preserve">outs and missed opportunities. These gaps are further widened by additional </w:t>
      </w:r>
      <w:r w:rsidRPr="00315E2E">
        <w:t>challenges in data transmission and obsession with re</w:t>
      </w:r>
      <w:r w:rsidRPr="002338C1">
        <w:t>porting to target coverage.</w:t>
      </w:r>
    </w:p>
    <w:p w14:paraId="0936E1D0" w14:textId="50B4B4F2" w:rsidR="00BE3D1A" w:rsidRPr="001A2A42" w:rsidRDefault="00BE3D1A" w:rsidP="00BE3D1A">
      <w:pPr>
        <w:pStyle w:val="ListParagraph"/>
        <w:numPr>
          <w:ilvl w:val="0"/>
          <w:numId w:val="10"/>
        </w:numPr>
        <w:spacing w:line="276" w:lineRule="auto"/>
        <w:ind w:left="426"/>
        <w:jc w:val="both"/>
      </w:pPr>
      <w:r w:rsidRPr="001A2A42">
        <w:t xml:space="preserve">adequate and </w:t>
      </w:r>
      <w:r>
        <w:t>high</w:t>
      </w:r>
      <w:r w:rsidRPr="001A2A42">
        <w:t xml:space="preserve"> motivation of </w:t>
      </w:r>
      <w:r w:rsidR="00016E20">
        <w:t xml:space="preserve">the </w:t>
      </w:r>
      <w:r w:rsidRPr="001A2A42">
        <w:t>health workforce due to delayed payments of salaries and appropriate working conditions are contributory. In some primary health facilities</w:t>
      </w:r>
      <w:r>
        <w:t>.</w:t>
      </w:r>
    </w:p>
    <w:p w14:paraId="1981A93A" w14:textId="71AC93C5" w:rsidR="00BE3D1A" w:rsidRPr="001A2A42" w:rsidRDefault="00BE3D1A" w:rsidP="00BE3D1A">
      <w:pPr>
        <w:pStyle w:val="ListParagraph"/>
        <w:numPr>
          <w:ilvl w:val="0"/>
          <w:numId w:val="10"/>
        </w:numPr>
        <w:spacing w:line="276" w:lineRule="auto"/>
        <w:ind w:left="426"/>
        <w:jc w:val="both"/>
      </w:pPr>
      <w:r>
        <w:t>low</w:t>
      </w:r>
      <w:r w:rsidRPr="001A2A42">
        <w:t xml:space="preserve"> attrition rates of health workers.</w:t>
      </w:r>
    </w:p>
    <w:p w14:paraId="1E45E68C" w14:textId="10343987" w:rsidR="00BE3D1A" w:rsidRPr="001A2A42" w:rsidRDefault="00BE3D1A" w:rsidP="00BE3D1A">
      <w:pPr>
        <w:pStyle w:val="ListParagraph"/>
        <w:numPr>
          <w:ilvl w:val="0"/>
          <w:numId w:val="10"/>
        </w:numPr>
        <w:spacing w:line="276" w:lineRule="auto"/>
        <w:ind w:left="426"/>
        <w:jc w:val="both"/>
      </w:pPr>
      <w:r>
        <w:t>Capacity building that is</w:t>
      </w:r>
      <w:r w:rsidRPr="001A2A42">
        <w:t xml:space="preserve"> relevant training(s), or the alignment between the individuals that are trained and the roles they perform.</w:t>
      </w:r>
    </w:p>
    <w:p w14:paraId="54112168" w14:textId="708FFA1F" w:rsidR="00BE3D1A" w:rsidRDefault="00BE3D1A" w:rsidP="0009116E"/>
    <w:p w14:paraId="5E7B60D6" w14:textId="3E3EC909" w:rsidR="003F6EBC" w:rsidRDefault="003F6EBC" w:rsidP="0009116E"/>
    <w:p w14:paraId="09B32934" w14:textId="39405595" w:rsidR="003F6EBC" w:rsidRDefault="003F6EBC" w:rsidP="0009116E"/>
    <w:p w14:paraId="741FF69D" w14:textId="52BAD2F3" w:rsidR="003F6EBC" w:rsidRPr="004164F8" w:rsidRDefault="004164F8" w:rsidP="0009116E">
      <w:pPr>
        <w:rPr>
          <w:b/>
          <w:bCs/>
        </w:rPr>
      </w:pPr>
      <w:r>
        <w:t xml:space="preserve">                                                                            </w:t>
      </w:r>
      <w:r w:rsidRPr="004164F8">
        <w:rPr>
          <w:b/>
          <w:bCs/>
        </w:rPr>
        <w:t>ACTIVITIES</w:t>
      </w:r>
    </w:p>
    <w:p w14:paraId="31B0F734" w14:textId="768DBC16" w:rsidR="003F6EBC" w:rsidRDefault="003F6EBC" w:rsidP="0009116E"/>
    <w:tbl>
      <w:tblPr>
        <w:tblStyle w:val="GridTable2-Accent51"/>
        <w:tblW w:w="5000" w:type="pct"/>
        <w:tblLook w:val="04A0" w:firstRow="1" w:lastRow="0" w:firstColumn="1" w:lastColumn="0" w:noHBand="0" w:noVBand="1"/>
      </w:tblPr>
      <w:tblGrid>
        <w:gridCol w:w="1451"/>
        <w:gridCol w:w="2249"/>
        <w:gridCol w:w="5650"/>
      </w:tblGrid>
      <w:tr w:rsidR="00722962" w:rsidRPr="001A2A42" w14:paraId="2A27C602" w14:textId="77777777" w:rsidTr="007229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Borders>
              <w:top w:val="single" w:sz="4" w:space="0" w:color="auto"/>
              <w:left w:val="single" w:sz="4" w:space="0" w:color="auto"/>
              <w:bottom w:val="single" w:sz="4" w:space="0" w:color="auto"/>
              <w:right w:val="single" w:sz="4" w:space="0" w:color="auto"/>
            </w:tcBorders>
          </w:tcPr>
          <w:p w14:paraId="299D68D4" w14:textId="77777777" w:rsidR="00722962" w:rsidRPr="00011D22" w:rsidRDefault="00722962" w:rsidP="00983241">
            <w:pPr>
              <w:spacing w:before="60" w:after="60"/>
              <w:rPr>
                <w:sz w:val="18"/>
                <w:szCs w:val="18"/>
              </w:rPr>
            </w:pPr>
            <w:r w:rsidRPr="00DE1E7F">
              <w:rPr>
                <w:rFonts w:eastAsiaTheme="minorEastAsia"/>
                <w:b w:val="0"/>
                <w:sz w:val="18"/>
                <w:szCs w:val="18"/>
                <w:lang w:eastAsia="ja-JP"/>
              </w:rPr>
              <w:t>Objectives</w:t>
            </w:r>
          </w:p>
        </w:tc>
        <w:tc>
          <w:tcPr>
            <w:tcW w:w="1210" w:type="pct"/>
            <w:tcBorders>
              <w:top w:val="single" w:sz="4" w:space="0" w:color="auto"/>
              <w:left w:val="single" w:sz="4" w:space="0" w:color="auto"/>
              <w:bottom w:val="single" w:sz="4" w:space="0" w:color="auto"/>
              <w:right w:val="single" w:sz="4" w:space="0" w:color="auto"/>
            </w:tcBorders>
          </w:tcPr>
          <w:p w14:paraId="16CB5BC5" w14:textId="77777777" w:rsidR="00722962" w:rsidRPr="00011D22" w:rsidRDefault="00722962" w:rsidP="00983241">
            <w:pPr>
              <w:spacing w:before="60" w:after="6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11D22">
              <w:rPr>
                <w:sz w:val="18"/>
                <w:szCs w:val="18"/>
              </w:rPr>
              <w:t>Strategies</w:t>
            </w:r>
          </w:p>
        </w:tc>
        <w:tc>
          <w:tcPr>
            <w:tcW w:w="3029" w:type="pct"/>
            <w:tcBorders>
              <w:top w:val="single" w:sz="4" w:space="0" w:color="auto"/>
              <w:left w:val="single" w:sz="4" w:space="0" w:color="auto"/>
              <w:bottom w:val="single" w:sz="4" w:space="0" w:color="auto"/>
              <w:right w:val="single" w:sz="4" w:space="0" w:color="auto"/>
            </w:tcBorders>
          </w:tcPr>
          <w:p w14:paraId="128C4460" w14:textId="77777777" w:rsidR="00722962" w:rsidRPr="00011D22" w:rsidRDefault="00722962" w:rsidP="00983241">
            <w:pPr>
              <w:spacing w:before="60" w:after="6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11D22">
              <w:rPr>
                <w:sz w:val="18"/>
                <w:szCs w:val="18"/>
              </w:rPr>
              <w:t>Activities</w:t>
            </w:r>
          </w:p>
        </w:tc>
      </w:tr>
      <w:tr w:rsidR="00722962" w:rsidRPr="001A2A42" w14:paraId="1A61A903" w14:textId="77777777" w:rsidTr="00722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vMerge w:val="restart"/>
            <w:tcBorders>
              <w:top w:val="single" w:sz="4" w:space="0" w:color="auto"/>
              <w:left w:val="single" w:sz="4" w:space="0" w:color="auto"/>
              <w:right w:val="single" w:sz="4" w:space="0" w:color="auto"/>
            </w:tcBorders>
          </w:tcPr>
          <w:p w14:paraId="52E3F7DE" w14:textId="77777777" w:rsidR="00722962" w:rsidRPr="00011D22" w:rsidRDefault="00722962" w:rsidP="00983241">
            <w:pPr>
              <w:spacing w:before="60" w:after="60" w:line="300" w:lineRule="exact"/>
              <w:rPr>
                <w:sz w:val="18"/>
                <w:szCs w:val="18"/>
              </w:rPr>
            </w:pPr>
            <w:r w:rsidRPr="00011D22">
              <w:rPr>
                <w:sz w:val="18"/>
                <w:szCs w:val="18"/>
              </w:rPr>
              <w:t xml:space="preserve">1.  To </w:t>
            </w:r>
            <w:r w:rsidRPr="00011D22">
              <w:rPr>
                <w:color w:val="000000"/>
                <w:sz w:val="18"/>
                <w:szCs w:val="18"/>
              </w:rPr>
              <w:t>facilitate the implementation of interventions to the identified data quality issues and achieves at least 95% timeliness and completeness of reporting on DHIS2 by 2020.</w:t>
            </w:r>
          </w:p>
        </w:tc>
        <w:tc>
          <w:tcPr>
            <w:tcW w:w="1210" w:type="pct"/>
            <w:tcBorders>
              <w:top w:val="single" w:sz="4" w:space="0" w:color="auto"/>
              <w:left w:val="single" w:sz="4" w:space="0" w:color="auto"/>
              <w:bottom w:val="single" w:sz="4" w:space="0" w:color="auto"/>
              <w:right w:val="single" w:sz="4" w:space="0" w:color="auto"/>
            </w:tcBorders>
          </w:tcPr>
          <w:p w14:paraId="0EA8E1E2" w14:textId="77777777" w:rsidR="00722962" w:rsidRPr="00DE1E7F" w:rsidRDefault="00722962" w:rsidP="00722962">
            <w:pPr>
              <w:pStyle w:val="ListParagraph"/>
              <w:numPr>
                <w:ilvl w:val="1"/>
                <w:numId w:val="13"/>
              </w:numPr>
              <w:spacing w:before="60" w:after="60" w:line="300" w:lineRule="exact"/>
              <w:cnfStyle w:val="000000100000" w:firstRow="0" w:lastRow="0" w:firstColumn="0" w:lastColumn="0" w:oddVBand="0" w:evenVBand="0" w:oddHBand="1" w:evenHBand="0" w:firstRowFirstColumn="0" w:firstRowLastColumn="0" w:lastRowFirstColumn="0" w:lastRowLastColumn="0"/>
              <w:rPr>
                <w:sz w:val="18"/>
                <w:szCs w:val="18"/>
              </w:rPr>
            </w:pPr>
            <w:r w:rsidRPr="00DE1E7F">
              <w:rPr>
                <w:rFonts w:eastAsiaTheme="minorEastAsia"/>
                <w:sz w:val="18"/>
                <w:szCs w:val="18"/>
                <w:lang w:eastAsia="ja-JP"/>
              </w:rPr>
              <w:t>Strengthen coordination structures for data reporting, warehousing, management and use of data for action</w:t>
            </w:r>
          </w:p>
        </w:tc>
        <w:tc>
          <w:tcPr>
            <w:tcW w:w="3029" w:type="pct"/>
            <w:tcBorders>
              <w:top w:val="single" w:sz="4" w:space="0" w:color="auto"/>
              <w:left w:val="single" w:sz="4" w:space="0" w:color="auto"/>
              <w:bottom w:val="single" w:sz="4" w:space="0" w:color="auto"/>
              <w:right w:val="single" w:sz="4" w:space="0" w:color="auto"/>
            </w:tcBorders>
            <w:vAlign w:val="center"/>
          </w:tcPr>
          <w:p w14:paraId="7FEE5398" w14:textId="77777777" w:rsidR="00722962" w:rsidRPr="00DE1E7F" w:rsidRDefault="00722962" w:rsidP="00722962">
            <w:pPr>
              <w:pStyle w:val="ListParagraph"/>
              <w:numPr>
                <w:ilvl w:val="2"/>
                <w:numId w:val="13"/>
              </w:numPr>
              <w:spacing w:after="20"/>
              <w:cnfStyle w:val="000000100000" w:firstRow="0" w:lastRow="0" w:firstColumn="0" w:lastColumn="0" w:oddVBand="0" w:evenVBand="0" w:oddHBand="1" w:evenHBand="0" w:firstRowFirstColumn="0" w:firstRowLastColumn="0" w:lastRowFirstColumn="0" w:lastRowLastColumn="0"/>
              <w:rPr>
                <w:sz w:val="18"/>
                <w:szCs w:val="18"/>
              </w:rPr>
            </w:pPr>
            <w:r w:rsidRPr="00DE1E7F">
              <w:rPr>
                <w:rFonts w:eastAsiaTheme="minorEastAsia"/>
                <w:color w:val="000000"/>
                <w:sz w:val="18"/>
                <w:szCs w:val="18"/>
                <w:lang w:eastAsia="ja-JP"/>
              </w:rPr>
              <w:t xml:space="preserve"> Establishment of a national (and states) data quality implementation teams (to facilitate </w:t>
            </w:r>
          </w:p>
          <w:p w14:paraId="7509ECC5" w14:textId="77777777" w:rsidR="00722962" w:rsidRPr="00DE1E7F" w:rsidRDefault="00722962" w:rsidP="00983241">
            <w:pPr>
              <w:pStyle w:val="ListParagraph"/>
              <w:spacing w:after="20"/>
              <w:ind w:left="360"/>
              <w:cnfStyle w:val="000000100000" w:firstRow="0" w:lastRow="0" w:firstColumn="0" w:lastColumn="0" w:oddVBand="0" w:evenVBand="0" w:oddHBand="1" w:evenHBand="0" w:firstRowFirstColumn="0" w:firstRowLastColumn="0" w:lastRowFirstColumn="0" w:lastRowLastColumn="0"/>
              <w:rPr>
                <w:sz w:val="18"/>
                <w:szCs w:val="18"/>
              </w:rPr>
            </w:pPr>
            <w:r w:rsidRPr="00DE1E7F">
              <w:rPr>
                <w:rFonts w:eastAsiaTheme="minorEastAsia"/>
                <w:color w:val="000000"/>
                <w:sz w:val="18"/>
                <w:szCs w:val="18"/>
                <w:lang w:eastAsia="ja-JP"/>
              </w:rPr>
              <w:t xml:space="preserve">          Implementation of the DQIP) </w:t>
            </w:r>
          </w:p>
          <w:p w14:paraId="18CD39D4" w14:textId="77777777" w:rsidR="00722962" w:rsidRPr="00DE1E7F" w:rsidRDefault="00722962" w:rsidP="00722962">
            <w:pPr>
              <w:pStyle w:val="ListParagraph"/>
              <w:numPr>
                <w:ilvl w:val="2"/>
                <w:numId w:val="13"/>
              </w:numPr>
              <w:spacing w:after="20"/>
              <w:cnfStyle w:val="000000100000" w:firstRow="0" w:lastRow="0" w:firstColumn="0" w:lastColumn="0" w:oddVBand="0" w:evenVBand="0" w:oddHBand="1" w:evenHBand="0" w:firstRowFirstColumn="0" w:firstRowLastColumn="0" w:lastRowFirstColumn="0" w:lastRowLastColumn="0"/>
              <w:rPr>
                <w:sz w:val="18"/>
                <w:szCs w:val="18"/>
              </w:rPr>
            </w:pPr>
            <w:r w:rsidRPr="00DE1E7F">
              <w:rPr>
                <w:rFonts w:eastAsiaTheme="minorEastAsia"/>
                <w:color w:val="000000"/>
                <w:sz w:val="18"/>
                <w:szCs w:val="18"/>
                <w:lang w:eastAsia="ja-JP"/>
              </w:rPr>
              <w:t xml:space="preserve"> To support coordination through the conduct of monthly TWG meetings (RIWG, LWG, MEWG, </w:t>
            </w:r>
          </w:p>
          <w:p w14:paraId="14304206" w14:textId="77777777" w:rsidR="00722962" w:rsidRPr="00DE1E7F" w:rsidRDefault="00722962" w:rsidP="00983241">
            <w:pPr>
              <w:pStyle w:val="ListParagraph"/>
              <w:spacing w:after="20"/>
              <w:ind w:left="360"/>
              <w:cnfStyle w:val="000000100000" w:firstRow="0" w:lastRow="0" w:firstColumn="0" w:lastColumn="0" w:oddVBand="0" w:evenVBand="0" w:oddHBand="1" w:evenHBand="0" w:firstRowFirstColumn="0" w:firstRowLastColumn="0" w:lastRowFirstColumn="0" w:lastRowLastColumn="0"/>
              <w:rPr>
                <w:sz w:val="18"/>
                <w:szCs w:val="18"/>
              </w:rPr>
            </w:pPr>
            <w:r w:rsidRPr="00DE1E7F">
              <w:rPr>
                <w:rFonts w:eastAsiaTheme="minorEastAsia"/>
                <w:color w:val="000000"/>
                <w:sz w:val="18"/>
                <w:szCs w:val="18"/>
                <w:lang w:eastAsia="ja-JP"/>
              </w:rPr>
              <w:t xml:space="preserve">          SMWG, </w:t>
            </w:r>
            <w:proofErr w:type="spellStart"/>
            <w:r w:rsidRPr="00DE1E7F">
              <w:rPr>
                <w:rFonts w:eastAsiaTheme="minorEastAsia"/>
                <w:color w:val="000000"/>
                <w:sz w:val="18"/>
                <w:szCs w:val="18"/>
                <w:lang w:eastAsia="ja-JP"/>
              </w:rPr>
              <w:t>TrWG</w:t>
            </w:r>
            <w:proofErr w:type="spellEnd"/>
            <w:r w:rsidRPr="00DE1E7F">
              <w:rPr>
                <w:rFonts w:eastAsiaTheme="minorEastAsia"/>
                <w:color w:val="000000"/>
                <w:sz w:val="18"/>
                <w:szCs w:val="18"/>
                <w:lang w:eastAsia="ja-JP"/>
              </w:rPr>
              <w:t>)</w:t>
            </w:r>
          </w:p>
        </w:tc>
      </w:tr>
      <w:tr w:rsidR="00722962" w:rsidRPr="001A2A42" w14:paraId="437499B1" w14:textId="77777777" w:rsidTr="00722962">
        <w:tc>
          <w:tcPr>
            <w:cnfStyle w:val="001000000000" w:firstRow="0" w:lastRow="0" w:firstColumn="1" w:lastColumn="0" w:oddVBand="0" w:evenVBand="0" w:oddHBand="0" w:evenHBand="0" w:firstRowFirstColumn="0" w:firstRowLastColumn="0" w:lastRowFirstColumn="0" w:lastRowLastColumn="0"/>
            <w:tcW w:w="761" w:type="pct"/>
            <w:vMerge/>
            <w:tcBorders>
              <w:left w:val="single" w:sz="4" w:space="0" w:color="auto"/>
              <w:right w:val="single" w:sz="4" w:space="0" w:color="auto"/>
            </w:tcBorders>
          </w:tcPr>
          <w:p w14:paraId="2F9DA0D9" w14:textId="77777777" w:rsidR="00722962" w:rsidRPr="00B714A0" w:rsidRDefault="00722962" w:rsidP="00722962">
            <w:pPr>
              <w:numPr>
                <w:ilvl w:val="0"/>
                <w:numId w:val="12"/>
              </w:numPr>
              <w:spacing w:before="60" w:after="60"/>
              <w:rPr>
                <w:sz w:val="18"/>
                <w:szCs w:val="18"/>
              </w:rPr>
            </w:pPr>
          </w:p>
        </w:tc>
        <w:tc>
          <w:tcPr>
            <w:tcW w:w="1210" w:type="pct"/>
            <w:tcBorders>
              <w:top w:val="single" w:sz="4" w:space="0" w:color="auto"/>
              <w:left w:val="single" w:sz="4" w:space="0" w:color="auto"/>
              <w:bottom w:val="single" w:sz="4" w:space="0" w:color="auto"/>
              <w:right w:val="single" w:sz="4" w:space="0" w:color="auto"/>
            </w:tcBorders>
          </w:tcPr>
          <w:p w14:paraId="4D30669E" w14:textId="77777777" w:rsidR="00722962" w:rsidRPr="00DE1E7F" w:rsidRDefault="00722962" w:rsidP="00722962">
            <w:pPr>
              <w:pStyle w:val="ListParagraph"/>
              <w:numPr>
                <w:ilvl w:val="1"/>
                <w:numId w:val="13"/>
              </w:numPr>
              <w:spacing w:before="60" w:after="60" w:line="300" w:lineRule="exact"/>
              <w:cnfStyle w:val="000000000000" w:firstRow="0" w:lastRow="0" w:firstColumn="0" w:lastColumn="0" w:oddVBand="0" w:evenVBand="0" w:oddHBand="0" w:evenHBand="0" w:firstRowFirstColumn="0" w:firstRowLastColumn="0" w:lastRowFirstColumn="0" w:lastRowLastColumn="0"/>
              <w:rPr>
                <w:sz w:val="18"/>
                <w:szCs w:val="18"/>
              </w:rPr>
            </w:pPr>
            <w:r w:rsidRPr="00DE1E7F">
              <w:rPr>
                <w:rFonts w:eastAsiaTheme="minorEastAsia"/>
                <w:sz w:val="18"/>
                <w:szCs w:val="18"/>
                <w:lang w:eastAsia="ja-JP"/>
              </w:rPr>
              <w:t>Provision of appropriate technologies (equipment) and data capturing tools at all levels</w:t>
            </w:r>
          </w:p>
        </w:tc>
        <w:tc>
          <w:tcPr>
            <w:tcW w:w="3029" w:type="pct"/>
            <w:tcBorders>
              <w:top w:val="single" w:sz="4" w:space="0" w:color="auto"/>
              <w:left w:val="single" w:sz="4" w:space="0" w:color="auto"/>
              <w:bottom w:val="single" w:sz="4" w:space="0" w:color="auto"/>
              <w:right w:val="single" w:sz="4" w:space="0" w:color="auto"/>
            </w:tcBorders>
          </w:tcPr>
          <w:p w14:paraId="54DDA7AB" w14:textId="77777777" w:rsidR="00722962" w:rsidRPr="00DE1E7F" w:rsidRDefault="00722962" w:rsidP="00722962">
            <w:pPr>
              <w:pStyle w:val="ListParagraph"/>
              <w:numPr>
                <w:ilvl w:val="2"/>
                <w:numId w:val="13"/>
              </w:numPr>
              <w:spacing w:after="20"/>
              <w:cnfStyle w:val="000000000000" w:firstRow="0" w:lastRow="0" w:firstColumn="0" w:lastColumn="0" w:oddVBand="0" w:evenVBand="0" w:oddHBand="0" w:evenHBand="0" w:firstRowFirstColumn="0" w:firstRowLastColumn="0" w:lastRowFirstColumn="0" w:lastRowLastColumn="0"/>
              <w:rPr>
                <w:sz w:val="18"/>
                <w:szCs w:val="18"/>
              </w:rPr>
            </w:pPr>
            <w:r w:rsidRPr="00DE1E7F">
              <w:rPr>
                <w:rFonts w:eastAsiaTheme="minorEastAsia"/>
                <w:sz w:val="18"/>
                <w:szCs w:val="18"/>
                <w:lang w:eastAsia="ja-JP"/>
              </w:rPr>
              <w:t>Procure computers for data reporting for States and LGAs</w:t>
            </w:r>
          </w:p>
          <w:p w14:paraId="56763704" w14:textId="77777777" w:rsidR="00722962" w:rsidRPr="00DE1E7F" w:rsidRDefault="00722962" w:rsidP="00722962">
            <w:pPr>
              <w:pStyle w:val="ListParagraph"/>
              <w:numPr>
                <w:ilvl w:val="2"/>
                <w:numId w:val="13"/>
              </w:numPr>
              <w:spacing w:after="160"/>
              <w:cnfStyle w:val="000000000000" w:firstRow="0" w:lastRow="0" w:firstColumn="0" w:lastColumn="0" w:oddVBand="0" w:evenVBand="0" w:oddHBand="0" w:evenHBand="0" w:firstRowFirstColumn="0" w:firstRowLastColumn="0" w:lastRowFirstColumn="0" w:lastRowLastColumn="0"/>
              <w:rPr>
                <w:sz w:val="18"/>
                <w:szCs w:val="18"/>
              </w:rPr>
            </w:pPr>
            <w:r w:rsidRPr="00DE1E7F">
              <w:rPr>
                <w:rFonts w:eastAsiaTheme="minorEastAsia"/>
                <w:sz w:val="18"/>
                <w:szCs w:val="18"/>
                <w:lang w:eastAsia="ja-JP"/>
              </w:rPr>
              <w:t>Procure mobile phones for data reporting from the health facilities</w:t>
            </w:r>
          </w:p>
          <w:p w14:paraId="102983E0" w14:textId="77777777" w:rsidR="00722962" w:rsidRPr="00DE1E7F" w:rsidRDefault="00722962" w:rsidP="00722962">
            <w:pPr>
              <w:pStyle w:val="ListParagraph"/>
              <w:numPr>
                <w:ilvl w:val="2"/>
                <w:numId w:val="13"/>
              </w:numPr>
              <w:spacing w:after="20"/>
              <w:cnfStyle w:val="000000000000" w:firstRow="0" w:lastRow="0" w:firstColumn="0" w:lastColumn="0" w:oddVBand="0" w:evenVBand="0" w:oddHBand="0" w:evenHBand="0" w:firstRowFirstColumn="0" w:firstRowLastColumn="0" w:lastRowFirstColumn="0" w:lastRowLastColumn="0"/>
              <w:rPr>
                <w:sz w:val="18"/>
                <w:szCs w:val="18"/>
              </w:rPr>
            </w:pPr>
            <w:r w:rsidRPr="00DE1E7F">
              <w:rPr>
                <w:rFonts w:eastAsiaTheme="minorEastAsia"/>
                <w:sz w:val="18"/>
                <w:szCs w:val="18"/>
                <w:lang w:eastAsia="ja-JP"/>
              </w:rPr>
              <w:t>Provide DHIS storage infrastructures and warehousing</w:t>
            </w:r>
          </w:p>
          <w:p w14:paraId="23B4DFAD" w14:textId="3D39397B" w:rsidR="00722962" w:rsidRPr="00DE1E7F" w:rsidRDefault="00722962" w:rsidP="00722962">
            <w:pPr>
              <w:pStyle w:val="ListParagraph"/>
              <w:numPr>
                <w:ilvl w:val="2"/>
                <w:numId w:val="13"/>
              </w:numPr>
              <w:spacing w:after="20"/>
              <w:cnfStyle w:val="000000000000" w:firstRow="0" w:lastRow="0" w:firstColumn="0" w:lastColumn="0" w:oddVBand="0" w:evenVBand="0" w:oddHBand="0" w:evenHBand="0" w:firstRowFirstColumn="0" w:firstRowLastColumn="0" w:lastRowFirstColumn="0" w:lastRowLastColumn="0"/>
              <w:rPr>
                <w:sz w:val="18"/>
                <w:szCs w:val="18"/>
              </w:rPr>
            </w:pPr>
            <w:r w:rsidRPr="00DE1E7F">
              <w:rPr>
                <w:rFonts w:eastAsiaTheme="minorEastAsia"/>
                <w:sz w:val="18"/>
                <w:szCs w:val="18"/>
                <w:lang w:eastAsia="ja-JP"/>
              </w:rPr>
              <w:t>Revision of EPI data tools for data capture, field visits</w:t>
            </w:r>
            <w:r w:rsidR="00016E20">
              <w:rPr>
                <w:rFonts w:eastAsiaTheme="minorEastAsia"/>
                <w:sz w:val="18"/>
                <w:szCs w:val="18"/>
                <w:lang w:eastAsia="ja-JP"/>
              </w:rPr>
              <w:t>/</w:t>
            </w:r>
            <w:r w:rsidRPr="00DE1E7F">
              <w:rPr>
                <w:rFonts w:eastAsiaTheme="minorEastAsia"/>
                <w:sz w:val="18"/>
                <w:szCs w:val="18"/>
                <w:lang w:eastAsia="ja-JP"/>
              </w:rPr>
              <w:t>supervisions by government and</w:t>
            </w:r>
          </w:p>
          <w:p w14:paraId="6CF5A545" w14:textId="77777777" w:rsidR="00722962" w:rsidRPr="00DE1E7F" w:rsidRDefault="00722962" w:rsidP="00983241">
            <w:pPr>
              <w:pStyle w:val="ListParagraph"/>
              <w:spacing w:after="20"/>
              <w:ind w:left="360"/>
              <w:cnfStyle w:val="000000000000" w:firstRow="0" w:lastRow="0" w:firstColumn="0" w:lastColumn="0" w:oddVBand="0" w:evenVBand="0" w:oddHBand="0" w:evenHBand="0" w:firstRowFirstColumn="0" w:firstRowLastColumn="0" w:lastRowFirstColumn="0" w:lastRowLastColumn="0"/>
              <w:rPr>
                <w:sz w:val="18"/>
                <w:szCs w:val="18"/>
              </w:rPr>
            </w:pPr>
            <w:r w:rsidRPr="00DE1E7F">
              <w:rPr>
                <w:rFonts w:eastAsiaTheme="minorEastAsia"/>
                <w:sz w:val="18"/>
                <w:szCs w:val="18"/>
                <w:lang w:eastAsia="ja-JP"/>
              </w:rPr>
              <w:t xml:space="preserve">         partners</w:t>
            </w:r>
          </w:p>
          <w:p w14:paraId="26D23577" w14:textId="77777777" w:rsidR="00722962" w:rsidRPr="00DE1E7F" w:rsidRDefault="00722962" w:rsidP="00722962">
            <w:pPr>
              <w:pStyle w:val="ListParagraph"/>
              <w:numPr>
                <w:ilvl w:val="2"/>
                <w:numId w:val="13"/>
              </w:numPr>
              <w:spacing w:after="20"/>
              <w:cnfStyle w:val="000000000000" w:firstRow="0" w:lastRow="0" w:firstColumn="0" w:lastColumn="0" w:oddVBand="0" w:evenVBand="0" w:oddHBand="0" w:evenHBand="0" w:firstRowFirstColumn="0" w:firstRowLastColumn="0" w:lastRowFirstColumn="0" w:lastRowLastColumn="0"/>
              <w:rPr>
                <w:sz w:val="18"/>
                <w:szCs w:val="18"/>
              </w:rPr>
            </w:pPr>
            <w:r w:rsidRPr="00DE1E7F">
              <w:rPr>
                <w:rFonts w:eastAsiaTheme="minorEastAsia"/>
                <w:sz w:val="18"/>
                <w:szCs w:val="18"/>
                <w:lang w:eastAsia="ja-JP"/>
              </w:rPr>
              <w:t>Provide and distribute appropriate EPI data tools to States, LGAs and HFs</w:t>
            </w:r>
          </w:p>
          <w:p w14:paraId="6959D132" w14:textId="77777777" w:rsidR="00722962" w:rsidRPr="00DE1E7F" w:rsidRDefault="00722962" w:rsidP="00722962">
            <w:pPr>
              <w:pStyle w:val="ListParagraph"/>
              <w:numPr>
                <w:ilvl w:val="2"/>
                <w:numId w:val="13"/>
              </w:numPr>
              <w:spacing w:after="20"/>
              <w:cnfStyle w:val="000000000000" w:firstRow="0" w:lastRow="0" w:firstColumn="0" w:lastColumn="0" w:oddVBand="0" w:evenVBand="0" w:oddHBand="0" w:evenHBand="0" w:firstRowFirstColumn="0" w:firstRowLastColumn="0" w:lastRowFirstColumn="0" w:lastRowLastColumn="0"/>
              <w:rPr>
                <w:sz w:val="18"/>
                <w:szCs w:val="18"/>
              </w:rPr>
            </w:pPr>
            <w:r w:rsidRPr="00DE1E7F">
              <w:rPr>
                <w:rFonts w:eastAsiaTheme="minorEastAsia"/>
                <w:sz w:val="18"/>
                <w:szCs w:val="18"/>
                <w:lang w:eastAsia="ja-JP"/>
              </w:rPr>
              <w:t xml:space="preserve">Conduct advocacy to community leaders, religious leaders &amp; WDCs on data ownership and use </w:t>
            </w:r>
          </w:p>
          <w:p w14:paraId="35BB697E" w14:textId="77777777" w:rsidR="00722962" w:rsidRPr="00DE1E7F" w:rsidRDefault="00722962" w:rsidP="00983241">
            <w:pPr>
              <w:pStyle w:val="ListParagraph"/>
              <w:spacing w:after="20"/>
              <w:ind w:left="360"/>
              <w:cnfStyle w:val="000000000000" w:firstRow="0" w:lastRow="0" w:firstColumn="0" w:lastColumn="0" w:oddVBand="0" w:evenVBand="0" w:oddHBand="0" w:evenHBand="0" w:firstRowFirstColumn="0" w:firstRowLastColumn="0" w:lastRowFirstColumn="0" w:lastRowLastColumn="0"/>
              <w:rPr>
                <w:sz w:val="18"/>
                <w:szCs w:val="18"/>
              </w:rPr>
            </w:pPr>
            <w:r w:rsidRPr="00DE1E7F">
              <w:rPr>
                <w:rFonts w:eastAsiaTheme="minorEastAsia"/>
                <w:sz w:val="18"/>
                <w:szCs w:val="18"/>
                <w:lang w:eastAsia="ja-JP"/>
              </w:rPr>
              <w:t xml:space="preserve">         of data for action</w:t>
            </w:r>
          </w:p>
          <w:p w14:paraId="71CAEA0D" w14:textId="77777777" w:rsidR="00722962" w:rsidRPr="00DE1E7F" w:rsidRDefault="00722962" w:rsidP="00722962">
            <w:pPr>
              <w:pStyle w:val="ListParagraph"/>
              <w:numPr>
                <w:ilvl w:val="2"/>
                <w:numId w:val="13"/>
              </w:numPr>
              <w:spacing w:after="20"/>
              <w:cnfStyle w:val="000000000000" w:firstRow="0" w:lastRow="0" w:firstColumn="0" w:lastColumn="0" w:oddVBand="0" w:evenVBand="0" w:oddHBand="0" w:evenHBand="0" w:firstRowFirstColumn="0" w:firstRowLastColumn="0" w:lastRowFirstColumn="0" w:lastRowLastColumn="0"/>
              <w:rPr>
                <w:sz w:val="18"/>
                <w:szCs w:val="18"/>
              </w:rPr>
            </w:pPr>
            <w:r w:rsidRPr="00DE1E7F">
              <w:rPr>
                <w:rFonts w:eastAsiaTheme="minorEastAsia"/>
                <w:sz w:val="18"/>
                <w:szCs w:val="18"/>
                <w:lang w:eastAsia="ja-JP"/>
              </w:rPr>
              <w:t>Develop community data tools to improve RI reporting</w:t>
            </w:r>
          </w:p>
          <w:p w14:paraId="1081E86A" w14:textId="77777777" w:rsidR="00722962" w:rsidRPr="00DE1E7F" w:rsidRDefault="00722962" w:rsidP="00722962">
            <w:pPr>
              <w:pStyle w:val="ListParagraph"/>
              <w:numPr>
                <w:ilvl w:val="2"/>
                <w:numId w:val="13"/>
              </w:numPr>
              <w:spacing w:after="20"/>
              <w:cnfStyle w:val="000000000000" w:firstRow="0" w:lastRow="0" w:firstColumn="0" w:lastColumn="0" w:oddVBand="0" w:evenVBand="0" w:oddHBand="0" w:evenHBand="0" w:firstRowFirstColumn="0" w:firstRowLastColumn="0" w:lastRowFirstColumn="0" w:lastRowLastColumn="0"/>
              <w:rPr>
                <w:sz w:val="18"/>
                <w:szCs w:val="18"/>
              </w:rPr>
            </w:pPr>
            <w:r w:rsidRPr="00DE1E7F">
              <w:rPr>
                <w:rFonts w:eastAsiaTheme="minorEastAsia"/>
                <w:sz w:val="18"/>
                <w:szCs w:val="18"/>
                <w:lang w:eastAsia="ja-JP"/>
              </w:rPr>
              <w:t>Renew signing of MOU on PPP for RI data with private health facilities</w:t>
            </w:r>
          </w:p>
          <w:p w14:paraId="62BDEF5D" w14:textId="77777777" w:rsidR="00722962" w:rsidRPr="00DE1E7F" w:rsidRDefault="00722962" w:rsidP="00722962">
            <w:pPr>
              <w:pStyle w:val="ListParagraph"/>
              <w:numPr>
                <w:ilvl w:val="2"/>
                <w:numId w:val="13"/>
              </w:numPr>
              <w:spacing w:after="20"/>
              <w:cnfStyle w:val="000000000000" w:firstRow="0" w:lastRow="0" w:firstColumn="0" w:lastColumn="0" w:oddVBand="0" w:evenVBand="0" w:oddHBand="0" w:evenHBand="0" w:firstRowFirstColumn="0" w:firstRowLastColumn="0" w:lastRowFirstColumn="0" w:lastRowLastColumn="0"/>
              <w:rPr>
                <w:sz w:val="18"/>
                <w:szCs w:val="18"/>
              </w:rPr>
            </w:pPr>
            <w:r w:rsidRPr="00DE1E7F">
              <w:rPr>
                <w:rFonts w:eastAsiaTheme="minorEastAsia"/>
                <w:sz w:val="18"/>
                <w:szCs w:val="18"/>
                <w:lang w:eastAsia="ja-JP"/>
              </w:rPr>
              <w:t xml:space="preserve">Collaborate with </w:t>
            </w:r>
            <w:proofErr w:type="spellStart"/>
            <w:r w:rsidRPr="00DE1E7F">
              <w:rPr>
                <w:rFonts w:eastAsiaTheme="minorEastAsia"/>
                <w:sz w:val="18"/>
                <w:szCs w:val="18"/>
                <w:lang w:eastAsia="ja-JP"/>
              </w:rPr>
              <w:t>NPoC</w:t>
            </w:r>
            <w:proofErr w:type="spellEnd"/>
            <w:r w:rsidRPr="00DE1E7F">
              <w:rPr>
                <w:rFonts w:eastAsiaTheme="minorEastAsia"/>
                <w:sz w:val="18"/>
                <w:szCs w:val="18"/>
                <w:lang w:eastAsia="ja-JP"/>
              </w:rPr>
              <w:t xml:space="preserve"> to improve birth registration and redefine denominator for Birth </w:t>
            </w:r>
          </w:p>
          <w:p w14:paraId="2B94C037" w14:textId="77777777" w:rsidR="00722962" w:rsidRPr="00DE1E7F" w:rsidRDefault="00722962" w:rsidP="00983241">
            <w:pPr>
              <w:pStyle w:val="ListParagraph"/>
              <w:spacing w:after="20"/>
              <w:ind w:left="360"/>
              <w:cnfStyle w:val="000000000000" w:firstRow="0" w:lastRow="0" w:firstColumn="0" w:lastColumn="0" w:oddVBand="0" w:evenVBand="0" w:oddHBand="0" w:evenHBand="0" w:firstRowFirstColumn="0" w:firstRowLastColumn="0" w:lastRowFirstColumn="0" w:lastRowLastColumn="0"/>
              <w:rPr>
                <w:sz w:val="18"/>
                <w:szCs w:val="18"/>
              </w:rPr>
            </w:pPr>
            <w:r w:rsidRPr="00DE1E7F">
              <w:rPr>
                <w:rFonts w:eastAsiaTheme="minorEastAsia"/>
                <w:sz w:val="18"/>
                <w:szCs w:val="18"/>
                <w:lang w:eastAsia="ja-JP"/>
              </w:rPr>
              <w:t xml:space="preserve">         registration</w:t>
            </w:r>
          </w:p>
          <w:p w14:paraId="049EDA5F" w14:textId="77777777" w:rsidR="00722962" w:rsidRPr="00DE1E7F" w:rsidRDefault="00722962" w:rsidP="00722962">
            <w:pPr>
              <w:pStyle w:val="ListParagraph"/>
              <w:numPr>
                <w:ilvl w:val="2"/>
                <w:numId w:val="13"/>
              </w:numPr>
              <w:spacing w:after="20"/>
              <w:cnfStyle w:val="000000000000" w:firstRow="0" w:lastRow="0" w:firstColumn="0" w:lastColumn="0" w:oddVBand="0" w:evenVBand="0" w:oddHBand="0" w:evenHBand="0" w:firstRowFirstColumn="0" w:firstRowLastColumn="0" w:lastRowFirstColumn="0" w:lastRowLastColumn="0"/>
              <w:rPr>
                <w:sz w:val="18"/>
                <w:szCs w:val="18"/>
              </w:rPr>
            </w:pPr>
            <w:r w:rsidRPr="00DE1E7F">
              <w:rPr>
                <w:rFonts w:eastAsiaTheme="minorEastAsia"/>
                <w:sz w:val="18"/>
                <w:szCs w:val="18"/>
                <w:lang w:eastAsia="ja-JP"/>
              </w:rPr>
              <w:t>Produce and disseminate quarterly bulletins on RI performance to States and LGAs</w:t>
            </w:r>
          </w:p>
          <w:p w14:paraId="5D2C2090" w14:textId="77777777" w:rsidR="00722962" w:rsidRPr="00DE1E7F" w:rsidRDefault="00722962" w:rsidP="00722962">
            <w:pPr>
              <w:pStyle w:val="ListParagraph"/>
              <w:numPr>
                <w:ilvl w:val="2"/>
                <w:numId w:val="13"/>
              </w:numPr>
              <w:spacing w:after="160"/>
              <w:cnfStyle w:val="000000000000" w:firstRow="0" w:lastRow="0" w:firstColumn="0" w:lastColumn="0" w:oddVBand="0" w:evenVBand="0" w:oddHBand="0" w:evenHBand="0" w:firstRowFirstColumn="0" w:firstRowLastColumn="0" w:lastRowFirstColumn="0" w:lastRowLastColumn="0"/>
              <w:rPr>
                <w:sz w:val="18"/>
                <w:szCs w:val="18"/>
              </w:rPr>
            </w:pPr>
            <w:r w:rsidRPr="00DE1E7F">
              <w:rPr>
                <w:rFonts w:eastAsiaTheme="minorEastAsia"/>
                <w:sz w:val="18"/>
                <w:szCs w:val="18"/>
                <w:lang w:eastAsia="ja-JP"/>
              </w:rPr>
              <w:t>Harmonization of the multiple reporting tools at all levels</w:t>
            </w:r>
          </w:p>
          <w:p w14:paraId="00EA1B0B" w14:textId="77777777" w:rsidR="00722962" w:rsidRPr="00DE1E7F" w:rsidRDefault="00722962" w:rsidP="00722962">
            <w:pPr>
              <w:pStyle w:val="ListParagraph"/>
              <w:numPr>
                <w:ilvl w:val="2"/>
                <w:numId w:val="13"/>
              </w:numPr>
              <w:spacing w:after="20"/>
              <w:cnfStyle w:val="000000000000" w:firstRow="0" w:lastRow="0" w:firstColumn="0" w:lastColumn="0" w:oddVBand="0" w:evenVBand="0" w:oddHBand="0" w:evenHBand="0" w:firstRowFirstColumn="0" w:firstRowLastColumn="0" w:lastRowFirstColumn="0" w:lastRowLastColumn="0"/>
              <w:rPr>
                <w:color w:val="FF0000"/>
                <w:sz w:val="18"/>
                <w:szCs w:val="18"/>
              </w:rPr>
            </w:pPr>
            <w:r w:rsidRPr="00DE1E7F">
              <w:rPr>
                <w:rFonts w:eastAsiaTheme="minorEastAsia"/>
                <w:sz w:val="18"/>
                <w:szCs w:val="18"/>
                <w:lang w:eastAsia="ja-JP"/>
              </w:rPr>
              <w:t>Introduce the use of data tools, data capture and analysis; and using data for action in pre-</w:t>
            </w:r>
          </w:p>
          <w:p w14:paraId="301C2999" w14:textId="77777777" w:rsidR="00722962" w:rsidRPr="00DE1E7F" w:rsidRDefault="00722962" w:rsidP="00983241">
            <w:pPr>
              <w:pStyle w:val="ListParagraph"/>
              <w:spacing w:after="20"/>
              <w:ind w:left="360"/>
              <w:cnfStyle w:val="000000000000" w:firstRow="0" w:lastRow="0" w:firstColumn="0" w:lastColumn="0" w:oddVBand="0" w:evenVBand="0" w:oddHBand="0" w:evenHBand="0" w:firstRowFirstColumn="0" w:firstRowLastColumn="0" w:lastRowFirstColumn="0" w:lastRowLastColumn="0"/>
              <w:rPr>
                <w:color w:val="FF0000"/>
                <w:sz w:val="18"/>
                <w:szCs w:val="18"/>
              </w:rPr>
            </w:pPr>
            <w:r w:rsidRPr="00DE1E7F">
              <w:rPr>
                <w:rFonts w:eastAsiaTheme="minorEastAsia"/>
                <w:sz w:val="18"/>
                <w:szCs w:val="18"/>
                <w:lang w:eastAsia="ja-JP"/>
              </w:rPr>
              <w:t xml:space="preserve">         service institutions Review of tools </w:t>
            </w:r>
          </w:p>
        </w:tc>
      </w:tr>
      <w:tr w:rsidR="00722962" w:rsidRPr="001A2A42" w14:paraId="1410544D" w14:textId="77777777" w:rsidTr="00722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vMerge/>
            <w:tcBorders>
              <w:left w:val="single" w:sz="4" w:space="0" w:color="auto"/>
              <w:right w:val="single" w:sz="4" w:space="0" w:color="auto"/>
            </w:tcBorders>
          </w:tcPr>
          <w:p w14:paraId="6B38E8BD" w14:textId="77777777" w:rsidR="00722962" w:rsidRPr="00B714A0" w:rsidRDefault="00722962" w:rsidP="00722962">
            <w:pPr>
              <w:numPr>
                <w:ilvl w:val="0"/>
                <w:numId w:val="12"/>
              </w:numPr>
              <w:spacing w:before="60" w:after="60"/>
              <w:rPr>
                <w:sz w:val="18"/>
                <w:szCs w:val="18"/>
              </w:rPr>
            </w:pPr>
          </w:p>
        </w:tc>
        <w:tc>
          <w:tcPr>
            <w:tcW w:w="1210" w:type="pct"/>
            <w:tcBorders>
              <w:top w:val="single" w:sz="4" w:space="0" w:color="auto"/>
              <w:left w:val="single" w:sz="4" w:space="0" w:color="auto"/>
              <w:bottom w:val="single" w:sz="4" w:space="0" w:color="auto"/>
              <w:right w:val="single" w:sz="4" w:space="0" w:color="auto"/>
            </w:tcBorders>
          </w:tcPr>
          <w:p w14:paraId="01457D1F" w14:textId="575EFA99" w:rsidR="00722962" w:rsidRPr="00DE1E7F" w:rsidRDefault="00722962" w:rsidP="00722962">
            <w:pPr>
              <w:pStyle w:val="ListParagraph"/>
              <w:numPr>
                <w:ilvl w:val="1"/>
                <w:numId w:val="13"/>
              </w:numPr>
              <w:spacing w:before="60" w:after="60" w:line="300" w:lineRule="exact"/>
              <w:cnfStyle w:val="000000100000" w:firstRow="0" w:lastRow="0" w:firstColumn="0" w:lastColumn="0" w:oddVBand="0" w:evenVBand="0" w:oddHBand="1" w:evenHBand="0" w:firstRowFirstColumn="0" w:firstRowLastColumn="0" w:lastRowFirstColumn="0" w:lastRowLastColumn="0"/>
              <w:rPr>
                <w:sz w:val="18"/>
                <w:szCs w:val="18"/>
              </w:rPr>
            </w:pPr>
            <w:r w:rsidRPr="00DE1E7F">
              <w:rPr>
                <w:rFonts w:eastAsiaTheme="minorEastAsia"/>
                <w:sz w:val="18"/>
                <w:szCs w:val="18"/>
                <w:lang w:eastAsia="ja-JP"/>
              </w:rPr>
              <w:t>Complete the Rollout of DHIS to all 19 States by December 2017</w:t>
            </w:r>
          </w:p>
        </w:tc>
        <w:tc>
          <w:tcPr>
            <w:tcW w:w="3029" w:type="pct"/>
            <w:tcBorders>
              <w:top w:val="single" w:sz="4" w:space="0" w:color="auto"/>
              <w:left w:val="single" w:sz="4" w:space="0" w:color="auto"/>
              <w:bottom w:val="single" w:sz="4" w:space="0" w:color="auto"/>
              <w:right w:val="single" w:sz="4" w:space="0" w:color="auto"/>
            </w:tcBorders>
          </w:tcPr>
          <w:p w14:paraId="61DDB573" w14:textId="71C0B464" w:rsidR="00722962" w:rsidRPr="00DE1E7F" w:rsidRDefault="00722962" w:rsidP="00722962">
            <w:pPr>
              <w:pStyle w:val="MyAct"/>
              <w:numPr>
                <w:ilvl w:val="2"/>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DE1E7F">
              <w:rPr>
                <w:rFonts w:asciiTheme="minorHAnsi" w:hAnsiTheme="minorHAnsi"/>
                <w:szCs w:val="18"/>
              </w:rPr>
              <w:t xml:space="preserve">Conduct advocacy and needs </w:t>
            </w:r>
            <w:r w:rsidR="00016E20">
              <w:rPr>
                <w:rFonts w:asciiTheme="minorHAnsi" w:hAnsiTheme="minorHAnsi"/>
                <w:szCs w:val="18"/>
              </w:rPr>
              <w:t xml:space="preserve">an </w:t>
            </w:r>
            <w:r w:rsidRPr="00DE1E7F">
              <w:rPr>
                <w:rFonts w:asciiTheme="minorHAnsi" w:hAnsiTheme="minorHAnsi"/>
                <w:szCs w:val="18"/>
              </w:rPr>
              <w:t>assessment on DHIS roll out to the remaining 14 states</w:t>
            </w:r>
          </w:p>
          <w:p w14:paraId="1186D68C" w14:textId="77777777" w:rsidR="00722962" w:rsidRPr="00DE1E7F" w:rsidRDefault="00722962" w:rsidP="00722962">
            <w:pPr>
              <w:pStyle w:val="MyAct"/>
              <w:numPr>
                <w:ilvl w:val="2"/>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DE1E7F">
              <w:rPr>
                <w:rFonts w:asciiTheme="minorHAnsi" w:hAnsiTheme="minorHAnsi"/>
                <w:szCs w:val="18"/>
              </w:rPr>
              <w:t xml:space="preserve">Conduct training of health workers on DHIS in 14 states </w:t>
            </w:r>
          </w:p>
          <w:p w14:paraId="7CE168A9" w14:textId="77777777" w:rsidR="00722962" w:rsidRPr="00DE1E7F" w:rsidRDefault="00722962" w:rsidP="00722962">
            <w:pPr>
              <w:pStyle w:val="MyAct"/>
              <w:numPr>
                <w:ilvl w:val="2"/>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DE1E7F">
              <w:rPr>
                <w:rFonts w:asciiTheme="minorHAnsi" w:hAnsiTheme="minorHAnsi"/>
                <w:szCs w:val="18"/>
              </w:rPr>
              <w:t xml:space="preserve">Conduct refresher of health care workers on DHIS in all states </w:t>
            </w:r>
          </w:p>
          <w:p w14:paraId="6E791740" w14:textId="77777777" w:rsidR="00722962" w:rsidRPr="00DE1E7F" w:rsidRDefault="00722962" w:rsidP="00722962">
            <w:pPr>
              <w:pStyle w:val="MyAct"/>
              <w:numPr>
                <w:ilvl w:val="2"/>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DE1E7F">
              <w:rPr>
                <w:rFonts w:asciiTheme="minorHAnsi" w:hAnsiTheme="minorHAnsi"/>
                <w:szCs w:val="18"/>
              </w:rPr>
              <w:t>Strengthen State / LGA levels monthly review meeting on RI to include M&amp;E/HMIS Officers</w:t>
            </w:r>
          </w:p>
          <w:p w14:paraId="367DD5D5" w14:textId="77777777" w:rsidR="00722962" w:rsidRPr="00DE1E7F" w:rsidRDefault="00722962" w:rsidP="00722962">
            <w:pPr>
              <w:pStyle w:val="MyAct"/>
              <w:numPr>
                <w:ilvl w:val="2"/>
                <w:numId w:val="13"/>
              </w:numPr>
              <w:ind w:left="704" w:hanging="704"/>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DE1E7F">
              <w:rPr>
                <w:rFonts w:asciiTheme="minorHAnsi" w:hAnsiTheme="minorHAnsi"/>
                <w:szCs w:val="18"/>
              </w:rPr>
              <w:t>Link LIOs and M&amp;E Officers meetings with capacity building including Directly Observable Data Entry</w:t>
            </w:r>
          </w:p>
          <w:p w14:paraId="14810F4B" w14:textId="77777777" w:rsidR="00722962" w:rsidRPr="00DE1E7F" w:rsidRDefault="00722962" w:rsidP="00722962">
            <w:pPr>
              <w:pStyle w:val="MyAct"/>
              <w:numPr>
                <w:ilvl w:val="2"/>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DE1E7F">
              <w:rPr>
                <w:rFonts w:asciiTheme="minorHAnsi" w:hAnsiTheme="minorHAnsi"/>
                <w:szCs w:val="18"/>
              </w:rPr>
              <w:t>Provide monthly feedback on DHIS reports at all levels</w:t>
            </w:r>
          </w:p>
          <w:p w14:paraId="36346B97" w14:textId="7DEAA775" w:rsidR="00722962" w:rsidRPr="00011D22" w:rsidRDefault="00722962" w:rsidP="00722962">
            <w:pPr>
              <w:pStyle w:val="MyAct"/>
              <w:numPr>
                <w:ilvl w:val="2"/>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011D22">
              <w:rPr>
                <w:rFonts w:asciiTheme="minorHAnsi" w:hAnsiTheme="minorHAnsi"/>
                <w:szCs w:val="18"/>
              </w:rPr>
              <w:t>Develop and implement DVD-MT phase</w:t>
            </w:r>
            <w:r w:rsidR="00016E20">
              <w:rPr>
                <w:rFonts w:asciiTheme="minorHAnsi" w:hAnsiTheme="minorHAnsi"/>
                <w:szCs w:val="18"/>
              </w:rPr>
              <w:t>-</w:t>
            </w:r>
            <w:r w:rsidRPr="00011D22">
              <w:rPr>
                <w:rFonts w:asciiTheme="minorHAnsi" w:hAnsiTheme="minorHAnsi"/>
                <w:szCs w:val="18"/>
              </w:rPr>
              <w:t>out transition strategy for the country</w:t>
            </w:r>
          </w:p>
        </w:tc>
      </w:tr>
      <w:tr w:rsidR="00722962" w:rsidRPr="001A2A42" w14:paraId="49929449" w14:textId="77777777" w:rsidTr="00722962">
        <w:tc>
          <w:tcPr>
            <w:cnfStyle w:val="001000000000" w:firstRow="0" w:lastRow="0" w:firstColumn="1" w:lastColumn="0" w:oddVBand="0" w:evenVBand="0" w:oddHBand="0" w:evenHBand="0" w:firstRowFirstColumn="0" w:firstRowLastColumn="0" w:lastRowFirstColumn="0" w:lastRowLastColumn="0"/>
            <w:tcW w:w="761" w:type="pct"/>
            <w:vMerge/>
            <w:tcBorders>
              <w:left w:val="single" w:sz="4" w:space="0" w:color="auto"/>
              <w:bottom w:val="single" w:sz="4" w:space="0" w:color="auto"/>
              <w:right w:val="single" w:sz="4" w:space="0" w:color="auto"/>
            </w:tcBorders>
          </w:tcPr>
          <w:p w14:paraId="517EDCA6" w14:textId="77777777" w:rsidR="00722962" w:rsidRPr="00B714A0" w:rsidRDefault="00722962" w:rsidP="00722962">
            <w:pPr>
              <w:numPr>
                <w:ilvl w:val="0"/>
                <w:numId w:val="12"/>
              </w:numPr>
              <w:spacing w:before="60" w:after="60"/>
              <w:rPr>
                <w:sz w:val="18"/>
                <w:szCs w:val="18"/>
              </w:rPr>
            </w:pPr>
          </w:p>
        </w:tc>
        <w:tc>
          <w:tcPr>
            <w:tcW w:w="1210" w:type="pct"/>
            <w:tcBorders>
              <w:top w:val="single" w:sz="4" w:space="0" w:color="auto"/>
              <w:left w:val="single" w:sz="4" w:space="0" w:color="auto"/>
              <w:bottom w:val="single" w:sz="4" w:space="0" w:color="auto"/>
              <w:right w:val="single" w:sz="4" w:space="0" w:color="auto"/>
            </w:tcBorders>
          </w:tcPr>
          <w:p w14:paraId="0AE39B82" w14:textId="5CA090F9" w:rsidR="00722962" w:rsidRPr="00011D22" w:rsidRDefault="00722962" w:rsidP="00722962">
            <w:pPr>
              <w:pStyle w:val="ListParagraph"/>
              <w:numPr>
                <w:ilvl w:val="1"/>
                <w:numId w:val="13"/>
              </w:numPr>
              <w:spacing w:before="60" w:after="60" w:line="300" w:lineRule="exact"/>
              <w:cnfStyle w:val="000000000000" w:firstRow="0" w:lastRow="0" w:firstColumn="0" w:lastColumn="0" w:oddVBand="0" w:evenVBand="0" w:oddHBand="0" w:evenHBand="0" w:firstRowFirstColumn="0" w:firstRowLastColumn="0" w:lastRowFirstColumn="0" w:lastRowLastColumn="0"/>
              <w:rPr>
                <w:sz w:val="18"/>
                <w:szCs w:val="18"/>
              </w:rPr>
            </w:pPr>
            <w:r w:rsidRPr="00011D22">
              <w:rPr>
                <w:color w:val="000000"/>
                <w:sz w:val="18"/>
                <w:szCs w:val="18"/>
              </w:rPr>
              <w:t>Strengthen human resource capacity, management</w:t>
            </w:r>
            <w:r w:rsidR="00016E20">
              <w:rPr>
                <w:color w:val="000000"/>
                <w:sz w:val="18"/>
                <w:szCs w:val="18"/>
              </w:rPr>
              <w:t>,</w:t>
            </w:r>
            <w:r w:rsidRPr="00011D22">
              <w:rPr>
                <w:color w:val="000000"/>
                <w:sz w:val="18"/>
                <w:szCs w:val="18"/>
              </w:rPr>
              <w:t xml:space="preserve"> and organization</w:t>
            </w:r>
          </w:p>
        </w:tc>
        <w:tc>
          <w:tcPr>
            <w:tcW w:w="3029" w:type="pct"/>
            <w:tcBorders>
              <w:top w:val="single" w:sz="4" w:space="0" w:color="auto"/>
              <w:left w:val="single" w:sz="4" w:space="0" w:color="auto"/>
              <w:bottom w:val="single" w:sz="4" w:space="0" w:color="auto"/>
              <w:right w:val="single" w:sz="4" w:space="0" w:color="auto"/>
            </w:tcBorders>
          </w:tcPr>
          <w:p w14:paraId="58D17D7A" w14:textId="2E272373" w:rsidR="00722962" w:rsidRPr="00011D22" w:rsidRDefault="00722962" w:rsidP="00722962">
            <w:pPr>
              <w:pStyle w:val="ListParagraph"/>
              <w:numPr>
                <w:ilvl w:val="2"/>
                <w:numId w:val="13"/>
              </w:numPr>
              <w:spacing w:after="160"/>
              <w:ind w:left="704" w:hanging="704"/>
              <w:cnfStyle w:val="000000000000" w:firstRow="0" w:lastRow="0" w:firstColumn="0" w:lastColumn="0" w:oddVBand="0" w:evenVBand="0" w:oddHBand="0" w:evenHBand="0" w:firstRowFirstColumn="0" w:firstRowLastColumn="0" w:lastRowFirstColumn="0" w:lastRowLastColumn="0"/>
              <w:rPr>
                <w:sz w:val="18"/>
                <w:szCs w:val="18"/>
              </w:rPr>
            </w:pPr>
            <w:r w:rsidRPr="00011D22">
              <w:rPr>
                <w:color w:val="000000"/>
                <w:sz w:val="18"/>
                <w:szCs w:val="18"/>
              </w:rPr>
              <w:t xml:space="preserve">Training and retraining of frontline health workers and </w:t>
            </w:r>
            <w:r w:rsidRPr="00011D22">
              <w:rPr>
                <w:sz w:val="18"/>
                <w:szCs w:val="18"/>
              </w:rPr>
              <w:t>managers on the use of DHIS mobile phones, data tools, monitoring techniques, use of data for action(s)</w:t>
            </w:r>
            <w:r w:rsidR="00016E20">
              <w:rPr>
                <w:sz w:val="18"/>
                <w:szCs w:val="18"/>
              </w:rPr>
              <w:t>,</w:t>
            </w:r>
            <w:r w:rsidRPr="00011D22">
              <w:rPr>
                <w:sz w:val="18"/>
                <w:szCs w:val="18"/>
              </w:rPr>
              <w:t xml:space="preserve"> </w:t>
            </w:r>
            <w:proofErr w:type="spellStart"/>
            <w:r w:rsidRPr="00011D22">
              <w:rPr>
                <w:sz w:val="18"/>
                <w:szCs w:val="18"/>
              </w:rPr>
              <w:t>etc</w:t>
            </w:r>
            <w:proofErr w:type="spellEnd"/>
          </w:p>
          <w:p w14:paraId="77C79473" w14:textId="77777777" w:rsidR="00722962" w:rsidRPr="00011D22" w:rsidRDefault="00722962" w:rsidP="00722962">
            <w:pPr>
              <w:pStyle w:val="ListParagraph"/>
              <w:numPr>
                <w:ilvl w:val="2"/>
                <w:numId w:val="13"/>
              </w:numPr>
              <w:spacing w:after="20"/>
              <w:ind w:left="704" w:hanging="704"/>
              <w:cnfStyle w:val="000000000000" w:firstRow="0" w:lastRow="0" w:firstColumn="0" w:lastColumn="0" w:oddVBand="0" w:evenVBand="0" w:oddHBand="0" w:evenHBand="0" w:firstRowFirstColumn="0" w:firstRowLastColumn="0" w:lastRowFirstColumn="0" w:lastRowLastColumn="0"/>
              <w:rPr>
                <w:sz w:val="18"/>
                <w:szCs w:val="18"/>
              </w:rPr>
            </w:pPr>
            <w:r w:rsidRPr="00011D22">
              <w:rPr>
                <w:sz w:val="18"/>
                <w:szCs w:val="18"/>
              </w:rPr>
              <w:t>Conduct quarterly supportive supervision so that each HF is visited including ODK enabled community survey</w:t>
            </w:r>
          </w:p>
          <w:p w14:paraId="3E96E588" w14:textId="2E87B4A4" w:rsidR="00722962" w:rsidRPr="00011D22" w:rsidRDefault="00722962" w:rsidP="00722962">
            <w:pPr>
              <w:pStyle w:val="ListParagraph"/>
              <w:numPr>
                <w:ilvl w:val="2"/>
                <w:numId w:val="13"/>
              </w:numPr>
              <w:spacing w:after="160"/>
              <w:cnfStyle w:val="000000000000" w:firstRow="0" w:lastRow="0" w:firstColumn="0" w:lastColumn="0" w:oddVBand="0" w:evenVBand="0" w:oddHBand="0" w:evenHBand="0" w:firstRowFirstColumn="0" w:firstRowLastColumn="0" w:lastRowFirstColumn="0" w:lastRowLastColumn="0"/>
              <w:rPr>
                <w:sz w:val="18"/>
                <w:szCs w:val="18"/>
              </w:rPr>
            </w:pPr>
            <w:r w:rsidRPr="00011D22">
              <w:rPr>
                <w:color w:val="000000"/>
                <w:sz w:val="18"/>
                <w:szCs w:val="18"/>
              </w:rPr>
              <w:lastRenderedPageBreak/>
              <w:t xml:space="preserve">Engage TA to support </w:t>
            </w:r>
            <w:r w:rsidR="00016E20">
              <w:rPr>
                <w:color w:val="000000"/>
                <w:sz w:val="18"/>
                <w:szCs w:val="18"/>
              </w:rPr>
              <w:t xml:space="preserve">the </w:t>
            </w:r>
            <w:r w:rsidRPr="00011D22">
              <w:rPr>
                <w:color w:val="000000"/>
                <w:sz w:val="18"/>
                <w:szCs w:val="18"/>
              </w:rPr>
              <w:t xml:space="preserve">implementation of the DQIP </w:t>
            </w:r>
          </w:p>
          <w:p w14:paraId="3DF05FA8" w14:textId="08627DEC" w:rsidR="00722962" w:rsidRPr="00011D22" w:rsidRDefault="00722962" w:rsidP="00722962">
            <w:pPr>
              <w:pStyle w:val="MyAct"/>
              <w:numPr>
                <w:ilvl w:val="2"/>
                <w:numId w:val="13"/>
              </w:numPr>
              <w:ind w:left="794" w:hanging="794"/>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011D22">
              <w:rPr>
                <w:rFonts w:asciiTheme="minorHAnsi" w:hAnsiTheme="minorHAnsi"/>
                <w:color w:val="000000"/>
                <w:szCs w:val="18"/>
              </w:rPr>
              <w:t>Tour of two (2) well</w:t>
            </w:r>
            <w:r w:rsidR="00016E20">
              <w:rPr>
                <w:rFonts w:asciiTheme="minorHAnsi" w:hAnsiTheme="minorHAnsi"/>
                <w:color w:val="000000"/>
                <w:szCs w:val="18"/>
              </w:rPr>
              <w:t>-</w:t>
            </w:r>
            <w:r w:rsidRPr="00011D22">
              <w:rPr>
                <w:rFonts w:asciiTheme="minorHAnsi" w:hAnsiTheme="minorHAnsi"/>
                <w:color w:val="000000"/>
                <w:szCs w:val="18"/>
              </w:rPr>
              <w:t>performing states / one (1) country (for possible replication of good practices)</w:t>
            </w:r>
          </w:p>
        </w:tc>
      </w:tr>
      <w:tr w:rsidR="00722962" w:rsidRPr="001A2A42" w14:paraId="5324870C" w14:textId="77777777" w:rsidTr="00722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Borders>
              <w:top w:val="single" w:sz="4" w:space="0" w:color="auto"/>
              <w:left w:val="single" w:sz="4" w:space="0" w:color="auto"/>
              <w:bottom w:val="single" w:sz="4" w:space="0" w:color="auto"/>
              <w:right w:val="single" w:sz="4" w:space="0" w:color="auto"/>
            </w:tcBorders>
            <w:vAlign w:val="center"/>
          </w:tcPr>
          <w:p w14:paraId="174F8FB6" w14:textId="77777777" w:rsidR="00722962" w:rsidRPr="00011D22" w:rsidRDefault="00722962" w:rsidP="00983241">
            <w:pPr>
              <w:spacing w:before="60" w:after="60"/>
              <w:jc w:val="center"/>
              <w:rPr>
                <w:sz w:val="18"/>
                <w:szCs w:val="18"/>
              </w:rPr>
            </w:pPr>
            <w:r w:rsidRPr="00011D22">
              <w:rPr>
                <w:sz w:val="18"/>
                <w:szCs w:val="18"/>
              </w:rPr>
              <w:t>Objectives</w:t>
            </w:r>
          </w:p>
        </w:tc>
        <w:tc>
          <w:tcPr>
            <w:tcW w:w="1210" w:type="pct"/>
            <w:tcBorders>
              <w:top w:val="single" w:sz="4" w:space="0" w:color="auto"/>
              <w:left w:val="single" w:sz="4" w:space="0" w:color="auto"/>
              <w:bottom w:val="single" w:sz="4" w:space="0" w:color="auto"/>
              <w:right w:val="single" w:sz="4" w:space="0" w:color="auto"/>
            </w:tcBorders>
            <w:vAlign w:val="center"/>
          </w:tcPr>
          <w:p w14:paraId="6248EEC4" w14:textId="77777777" w:rsidR="00722962" w:rsidRPr="00011D22" w:rsidRDefault="00722962" w:rsidP="00983241">
            <w:pPr>
              <w:pStyle w:val="ListParagraph"/>
              <w:spacing w:before="60" w:after="60" w:line="300" w:lineRule="exact"/>
              <w:ind w:left="36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11D22">
              <w:rPr>
                <w:b/>
                <w:sz w:val="18"/>
                <w:szCs w:val="18"/>
              </w:rPr>
              <w:t>Strategies</w:t>
            </w:r>
          </w:p>
        </w:tc>
        <w:tc>
          <w:tcPr>
            <w:tcW w:w="3029" w:type="pct"/>
            <w:tcBorders>
              <w:top w:val="single" w:sz="4" w:space="0" w:color="auto"/>
              <w:left w:val="single" w:sz="4" w:space="0" w:color="auto"/>
              <w:bottom w:val="single" w:sz="4" w:space="0" w:color="auto"/>
              <w:right w:val="single" w:sz="4" w:space="0" w:color="auto"/>
            </w:tcBorders>
            <w:vAlign w:val="center"/>
          </w:tcPr>
          <w:p w14:paraId="22FCB124" w14:textId="77777777" w:rsidR="00722962" w:rsidRPr="00011D22" w:rsidRDefault="00722962" w:rsidP="00983241">
            <w:pPr>
              <w:pStyle w:val="ListParagraph"/>
              <w:spacing w:after="160"/>
              <w:ind w:left="36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11D22">
              <w:rPr>
                <w:b/>
                <w:sz w:val="18"/>
                <w:szCs w:val="18"/>
              </w:rPr>
              <w:t>Activities</w:t>
            </w:r>
          </w:p>
        </w:tc>
      </w:tr>
      <w:tr w:rsidR="00722962" w:rsidRPr="001A2A42" w14:paraId="7E32ACF5" w14:textId="77777777" w:rsidTr="00722962">
        <w:tc>
          <w:tcPr>
            <w:cnfStyle w:val="001000000000" w:firstRow="0" w:lastRow="0" w:firstColumn="1" w:lastColumn="0" w:oddVBand="0" w:evenVBand="0" w:oddHBand="0" w:evenHBand="0" w:firstRowFirstColumn="0" w:firstRowLastColumn="0" w:lastRowFirstColumn="0" w:lastRowLastColumn="0"/>
            <w:tcW w:w="761" w:type="pct"/>
            <w:tcBorders>
              <w:top w:val="single" w:sz="4" w:space="0" w:color="auto"/>
              <w:left w:val="single" w:sz="4" w:space="0" w:color="auto"/>
              <w:bottom w:val="single" w:sz="4" w:space="0" w:color="auto"/>
              <w:right w:val="single" w:sz="4" w:space="0" w:color="auto"/>
            </w:tcBorders>
          </w:tcPr>
          <w:p w14:paraId="3B5DB073" w14:textId="77777777" w:rsidR="00722962" w:rsidRPr="00011D22" w:rsidRDefault="00722962" w:rsidP="00722962">
            <w:pPr>
              <w:numPr>
                <w:ilvl w:val="0"/>
                <w:numId w:val="12"/>
              </w:numPr>
              <w:spacing w:before="60" w:after="60"/>
              <w:rPr>
                <w:sz w:val="18"/>
                <w:szCs w:val="18"/>
              </w:rPr>
            </w:pPr>
          </w:p>
        </w:tc>
        <w:tc>
          <w:tcPr>
            <w:tcW w:w="1210" w:type="pct"/>
            <w:tcBorders>
              <w:top w:val="single" w:sz="4" w:space="0" w:color="auto"/>
              <w:left w:val="single" w:sz="4" w:space="0" w:color="auto"/>
              <w:bottom w:val="single" w:sz="4" w:space="0" w:color="auto"/>
              <w:right w:val="single" w:sz="4" w:space="0" w:color="auto"/>
            </w:tcBorders>
          </w:tcPr>
          <w:p w14:paraId="1447047F" w14:textId="697C323F" w:rsidR="00722962" w:rsidRPr="00011D22" w:rsidRDefault="00016E20" w:rsidP="00722962">
            <w:pPr>
              <w:pStyle w:val="ListParagraph"/>
              <w:numPr>
                <w:ilvl w:val="1"/>
                <w:numId w:val="13"/>
              </w:numPr>
              <w:spacing w:before="60" w:after="60" w:line="300" w:lineRule="exac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r</w:t>
            </w:r>
            <w:r w:rsidR="00722962" w:rsidRPr="00011D22">
              <w:rPr>
                <w:sz w:val="18"/>
                <w:szCs w:val="18"/>
              </w:rPr>
              <w:t>egular and sustained data validation system</w:t>
            </w:r>
          </w:p>
        </w:tc>
        <w:tc>
          <w:tcPr>
            <w:tcW w:w="3029" w:type="pct"/>
            <w:tcBorders>
              <w:top w:val="single" w:sz="4" w:space="0" w:color="auto"/>
              <w:left w:val="single" w:sz="4" w:space="0" w:color="auto"/>
              <w:bottom w:val="single" w:sz="4" w:space="0" w:color="auto"/>
              <w:right w:val="single" w:sz="4" w:space="0" w:color="auto"/>
            </w:tcBorders>
          </w:tcPr>
          <w:p w14:paraId="03843204" w14:textId="77777777" w:rsidR="00722962" w:rsidRPr="00011D22" w:rsidRDefault="00722962" w:rsidP="00722962">
            <w:pPr>
              <w:pStyle w:val="ListParagraph"/>
              <w:numPr>
                <w:ilvl w:val="2"/>
                <w:numId w:val="13"/>
              </w:numPr>
              <w:spacing w:after="160"/>
              <w:cnfStyle w:val="000000000000" w:firstRow="0" w:lastRow="0" w:firstColumn="0" w:lastColumn="0" w:oddVBand="0" w:evenVBand="0" w:oddHBand="0" w:evenHBand="0" w:firstRowFirstColumn="0" w:firstRowLastColumn="0" w:lastRowFirstColumn="0" w:lastRowLastColumn="0"/>
              <w:rPr>
                <w:sz w:val="18"/>
                <w:szCs w:val="18"/>
              </w:rPr>
            </w:pPr>
            <w:r w:rsidRPr="00011D22">
              <w:rPr>
                <w:sz w:val="18"/>
                <w:szCs w:val="18"/>
              </w:rPr>
              <w:t>Conduct quarterly DQA to LGA and health facilities</w:t>
            </w:r>
          </w:p>
          <w:p w14:paraId="017F6793" w14:textId="458569CD" w:rsidR="00722962" w:rsidRPr="00011D22" w:rsidRDefault="00722962" w:rsidP="00722962">
            <w:pPr>
              <w:pStyle w:val="ListParagraph"/>
              <w:numPr>
                <w:ilvl w:val="2"/>
                <w:numId w:val="13"/>
              </w:numPr>
              <w:spacing w:after="160"/>
              <w:cnfStyle w:val="000000000000" w:firstRow="0" w:lastRow="0" w:firstColumn="0" w:lastColumn="0" w:oddVBand="0" w:evenVBand="0" w:oddHBand="0" w:evenHBand="0" w:firstRowFirstColumn="0" w:firstRowLastColumn="0" w:lastRowFirstColumn="0" w:lastRowLastColumn="0"/>
              <w:rPr>
                <w:sz w:val="18"/>
                <w:szCs w:val="18"/>
              </w:rPr>
            </w:pPr>
            <w:r w:rsidRPr="00011D22">
              <w:rPr>
                <w:sz w:val="18"/>
                <w:szCs w:val="18"/>
              </w:rPr>
              <w:t xml:space="preserve"> Establish and strengthen integrated data management teams at the States</w:t>
            </w:r>
          </w:p>
          <w:p w14:paraId="0FB514A6" w14:textId="77777777" w:rsidR="00722962" w:rsidRPr="00011D22" w:rsidRDefault="00722962" w:rsidP="00722962">
            <w:pPr>
              <w:pStyle w:val="ListParagraph"/>
              <w:numPr>
                <w:ilvl w:val="2"/>
                <w:numId w:val="13"/>
              </w:numPr>
              <w:spacing w:after="160"/>
              <w:cnfStyle w:val="000000000000" w:firstRow="0" w:lastRow="0" w:firstColumn="0" w:lastColumn="0" w:oddVBand="0" w:evenVBand="0" w:oddHBand="0" w:evenHBand="0" w:firstRowFirstColumn="0" w:firstRowLastColumn="0" w:lastRowFirstColumn="0" w:lastRowLastColumn="0"/>
              <w:rPr>
                <w:sz w:val="18"/>
                <w:szCs w:val="18"/>
              </w:rPr>
            </w:pPr>
            <w:r w:rsidRPr="00011D22">
              <w:rPr>
                <w:sz w:val="18"/>
                <w:szCs w:val="18"/>
              </w:rPr>
              <w:t xml:space="preserve"> Conduct monthly meetings of data validation for all PHC programs at LGA levels</w:t>
            </w:r>
          </w:p>
          <w:p w14:paraId="30E5D828" w14:textId="77777777" w:rsidR="00722962" w:rsidRPr="00011D22" w:rsidRDefault="00722962" w:rsidP="00722962">
            <w:pPr>
              <w:pStyle w:val="ListParagraph"/>
              <w:numPr>
                <w:ilvl w:val="2"/>
                <w:numId w:val="13"/>
              </w:numPr>
              <w:spacing w:after="160"/>
              <w:cnfStyle w:val="000000000000" w:firstRow="0" w:lastRow="0" w:firstColumn="0" w:lastColumn="0" w:oddVBand="0" w:evenVBand="0" w:oddHBand="0" w:evenHBand="0" w:firstRowFirstColumn="0" w:firstRowLastColumn="0" w:lastRowFirstColumn="0" w:lastRowLastColumn="0"/>
              <w:rPr>
                <w:sz w:val="18"/>
                <w:szCs w:val="18"/>
              </w:rPr>
            </w:pPr>
            <w:r w:rsidRPr="00011D22">
              <w:rPr>
                <w:sz w:val="18"/>
                <w:szCs w:val="18"/>
              </w:rPr>
              <w:t xml:space="preserve"> Disseminate findings and Implement the recommendation of 2016 NICS / MICS</w:t>
            </w:r>
          </w:p>
          <w:p w14:paraId="7CA2502E" w14:textId="77777777" w:rsidR="00722962" w:rsidRPr="00011D22" w:rsidRDefault="00722962" w:rsidP="00722962">
            <w:pPr>
              <w:pStyle w:val="ListParagraph"/>
              <w:numPr>
                <w:ilvl w:val="2"/>
                <w:numId w:val="13"/>
              </w:numPr>
              <w:spacing w:after="160"/>
              <w:cnfStyle w:val="000000000000" w:firstRow="0" w:lastRow="0" w:firstColumn="0" w:lastColumn="0" w:oddVBand="0" w:evenVBand="0" w:oddHBand="0" w:evenHBand="0" w:firstRowFirstColumn="0" w:firstRowLastColumn="0" w:lastRowFirstColumn="0" w:lastRowLastColumn="0"/>
              <w:rPr>
                <w:sz w:val="18"/>
                <w:szCs w:val="18"/>
              </w:rPr>
            </w:pPr>
            <w:r w:rsidRPr="00011D22">
              <w:rPr>
                <w:sz w:val="18"/>
                <w:szCs w:val="18"/>
              </w:rPr>
              <w:t xml:space="preserve"> Conduct SMART survey on RI</w:t>
            </w:r>
          </w:p>
          <w:p w14:paraId="79EAEE81" w14:textId="77777777" w:rsidR="00722962" w:rsidRPr="00011D22" w:rsidRDefault="00722962" w:rsidP="00722962">
            <w:pPr>
              <w:pStyle w:val="ListParagraph"/>
              <w:numPr>
                <w:ilvl w:val="2"/>
                <w:numId w:val="13"/>
              </w:numPr>
              <w:spacing w:after="160"/>
              <w:ind w:left="794" w:hanging="810"/>
              <w:cnfStyle w:val="000000000000" w:firstRow="0" w:lastRow="0" w:firstColumn="0" w:lastColumn="0" w:oddVBand="0" w:evenVBand="0" w:oddHBand="0" w:evenHBand="0" w:firstRowFirstColumn="0" w:firstRowLastColumn="0" w:lastRowFirstColumn="0" w:lastRowLastColumn="0"/>
              <w:rPr>
                <w:sz w:val="18"/>
                <w:szCs w:val="18"/>
              </w:rPr>
            </w:pPr>
            <w:r w:rsidRPr="00011D22">
              <w:rPr>
                <w:color w:val="000000"/>
                <w:sz w:val="18"/>
                <w:szCs w:val="18"/>
              </w:rPr>
              <w:t>Institutionalize monthly community survey through the ODK enabled supportive supervision and on-the-job mentorship (within the broader RISS) by government and partners</w:t>
            </w:r>
          </w:p>
          <w:p w14:paraId="44CCC1C6" w14:textId="2A38B79D" w:rsidR="00722962" w:rsidRPr="00011D22" w:rsidRDefault="00722962" w:rsidP="00722962">
            <w:pPr>
              <w:pStyle w:val="ListParagraph"/>
              <w:numPr>
                <w:ilvl w:val="2"/>
                <w:numId w:val="13"/>
              </w:numPr>
              <w:spacing w:after="160"/>
              <w:cnfStyle w:val="000000000000" w:firstRow="0" w:lastRow="0" w:firstColumn="0" w:lastColumn="0" w:oddVBand="0" w:evenVBand="0" w:oddHBand="0" w:evenHBand="0" w:firstRowFirstColumn="0" w:firstRowLastColumn="0" w:lastRowFirstColumn="0" w:lastRowLastColumn="0"/>
              <w:rPr>
                <w:color w:val="000000"/>
                <w:sz w:val="18"/>
                <w:szCs w:val="18"/>
              </w:rPr>
            </w:pPr>
            <w:r w:rsidRPr="00011D22">
              <w:rPr>
                <w:color w:val="000000"/>
                <w:sz w:val="18"/>
                <w:szCs w:val="18"/>
              </w:rPr>
              <w:t xml:space="preserve"> Annual evaluation of </w:t>
            </w:r>
            <w:r w:rsidR="00016E20">
              <w:rPr>
                <w:color w:val="000000"/>
                <w:sz w:val="18"/>
                <w:szCs w:val="18"/>
              </w:rPr>
              <w:t xml:space="preserve">the </w:t>
            </w:r>
            <w:r w:rsidRPr="00011D22">
              <w:rPr>
                <w:color w:val="000000"/>
                <w:sz w:val="18"/>
                <w:szCs w:val="18"/>
              </w:rPr>
              <w:t>status of implementation of the DQIP</w:t>
            </w:r>
          </w:p>
        </w:tc>
      </w:tr>
      <w:tr w:rsidR="00722962" w:rsidRPr="001A2A42" w14:paraId="22F21CEF" w14:textId="77777777" w:rsidTr="00722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vMerge w:val="restart"/>
            <w:tcBorders>
              <w:top w:val="single" w:sz="4" w:space="0" w:color="auto"/>
              <w:left w:val="single" w:sz="4" w:space="0" w:color="auto"/>
              <w:bottom w:val="single" w:sz="4" w:space="0" w:color="auto"/>
              <w:right w:val="single" w:sz="4" w:space="0" w:color="auto"/>
            </w:tcBorders>
          </w:tcPr>
          <w:p w14:paraId="79221FA6" w14:textId="75679AA8" w:rsidR="00722962" w:rsidRPr="00011D22" w:rsidRDefault="00722962" w:rsidP="00983241">
            <w:pPr>
              <w:spacing w:before="60" w:after="60"/>
              <w:rPr>
                <w:sz w:val="18"/>
                <w:szCs w:val="18"/>
              </w:rPr>
            </w:pPr>
            <w:r w:rsidRPr="00011D22">
              <w:rPr>
                <w:color w:val="000000"/>
                <w:sz w:val="18"/>
                <w:szCs w:val="18"/>
              </w:rPr>
              <w:t>2. To ensure</w:t>
            </w:r>
            <w:r w:rsidR="00016E20">
              <w:rPr>
                <w:color w:val="000000"/>
                <w:sz w:val="18"/>
                <w:szCs w:val="18"/>
              </w:rPr>
              <w:t>/</w:t>
            </w:r>
            <w:r w:rsidRPr="00011D22">
              <w:rPr>
                <w:color w:val="000000"/>
                <w:sz w:val="18"/>
                <w:szCs w:val="18"/>
              </w:rPr>
              <w:t>pass enabling laws an develop appropriate guidelines to identify</w:t>
            </w:r>
            <w:r w:rsidR="00016E20">
              <w:rPr>
                <w:color w:val="000000"/>
                <w:sz w:val="18"/>
                <w:szCs w:val="18"/>
              </w:rPr>
              <w:t>/</w:t>
            </w:r>
            <w:r w:rsidRPr="00011D22">
              <w:rPr>
                <w:color w:val="000000"/>
                <w:sz w:val="18"/>
                <w:szCs w:val="18"/>
              </w:rPr>
              <w:t>address key issues (or challenges) affecting data quality in Nigeria</w:t>
            </w:r>
          </w:p>
        </w:tc>
        <w:tc>
          <w:tcPr>
            <w:tcW w:w="1210" w:type="pct"/>
            <w:tcBorders>
              <w:top w:val="single" w:sz="4" w:space="0" w:color="auto"/>
              <w:left w:val="single" w:sz="4" w:space="0" w:color="auto"/>
              <w:bottom w:val="single" w:sz="4" w:space="0" w:color="auto"/>
              <w:right w:val="single" w:sz="4" w:space="0" w:color="auto"/>
            </w:tcBorders>
          </w:tcPr>
          <w:p w14:paraId="2D250BD5" w14:textId="77777777" w:rsidR="00722962" w:rsidRPr="00011D22" w:rsidRDefault="00722962" w:rsidP="00722962">
            <w:pPr>
              <w:pStyle w:val="ListParagraph"/>
              <w:numPr>
                <w:ilvl w:val="1"/>
                <w:numId w:val="14"/>
              </w:numPr>
              <w:spacing w:before="60" w:after="60" w:line="300" w:lineRule="exact"/>
              <w:cnfStyle w:val="000000100000" w:firstRow="0" w:lastRow="0" w:firstColumn="0" w:lastColumn="0" w:oddVBand="0" w:evenVBand="0" w:oddHBand="1" w:evenHBand="0" w:firstRowFirstColumn="0" w:firstRowLastColumn="0" w:lastRowFirstColumn="0" w:lastRowLastColumn="0"/>
              <w:rPr>
                <w:sz w:val="18"/>
                <w:szCs w:val="18"/>
              </w:rPr>
            </w:pPr>
            <w:r w:rsidRPr="00011D22">
              <w:rPr>
                <w:color w:val="000000"/>
                <w:sz w:val="18"/>
                <w:szCs w:val="18"/>
              </w:rPr>
              <w:t>Pass enabling laws and develop appropriate guidelines</w:t>
            </w:r>
          </w:p>
        </w:tc>
        <w:tc>
          <w:tcPr>
            <w:tcW w:w="3029" w:type="pct"/>
            <w:tcBorders>
              <w:top w:val="single" w:sz="4" w:space="0" w:color="auto"/>
              <w:left w:val="single" w:sz="4" w:space="0" w:color="auto"/>
              <w:bottom w:val="single" w:sz="4" w:space="0" w:color="auto"/>
              <w:right w:val="single" w:sz="4" w:space="0" w:color="auto"/>
            </w:tcBorders>
          </w:tcPr>
          <w:p w14:paraId="0143ACD8" w14:textId="77777777" w:rsidR="00722962" w:rsidRPr="00011D22" w:rsidRDefault="00722962" w:rsidP="00722962">
            <w:pPr>
              <w:pStyle w:val="ListParagraph"/>
              <w:numPr>
                <w:ilvl w:val="2"/>
                <w:numId w:val="14"/>
              </w:numPr>
              <w:spacing w:after="160"/>
              <w:cnfStyle w:val="000000100000" w:firstRow="0" w:lastRow="0" w:firstColumn="0" w:lastColumn="0" w:oddVBand="0" w:evenVBand="0" w:oddHBand="1" w:evenHBand="0" w:firstRowFirstColumn="0" w:firstRowLastColumn="0" w:lastRowFirstColumn="0" w:lastRowLastColumn="0"/>
              <w:rPr>
                <w:color w:val="000000"/>
                <w:sz w:val="18"/>
                <w:szCs w:val="18"/>
              </w:rPr>
            </w:pPr>
            <w:r w:rsidRPr="00011D22">
              <w:rPr>
                <w:color w:val="000000"/>
                <w:sz w:val="18"/>
                <w:szCs w:val="18"/>
              </w:rPr>
              <w:t>Revision of the National Immunization Policy to accommodate appropriate</w:t>
            </w:r>
          </w:p>
          <w:p w14:paraId="1C4A925E" w14:textId="77777777" w:rsidR="00722962" w:rsidRPr="00011D22" w:rsidRDefault="00722962" w:rsidP="00722962">
            <w:pPr>
              <w:pStyle w:val="ListParagraph"/>
              <w:numPr>
                <w:ilvl w:val="2"/>
                <w:numId w:val="14"/>
              </w:numPr>
              <w:spacing w:after="160"/>
              <w:ind w:left="704" w:hanging="704"/>
              <w:cnfStyle w:val="000000100000" w:firstRow="0" w:lastRow="0" w:firstColumn="0" w:lastColumn="0" w:oddVBand="0" w:evenVBand="0" w:oddHBand="1" w:evenHBand="0" w:firstRowFirstColumn="0" w:firstRowLastColumn="0" w:lastRowFirstColumn="0" w:lastRowLastColumn="0"/>
              <w:rPr>
                <w:color w:val="000000"/>
                <w:sz w:val="18"/>
                <w:szCs w:val="18"/>
              </w:rPr>
            </w:pPr>
            <w:r w:rsidRPr="00011D22">
              <w:rPr>
                <w:color w:val="000000"/>
                <w:sz w:val="18"/>
                <w:szCs w:val="18"/>
              </w:rPr>
              <w:t xml:space="preserve">Free primary school enrollment social services for children with evidence of full immunization policies on data quality </w:t>
            </w:r>
          </w:p>
          <w:p w14:paraId="73DDE6F4" w14:textId="77777777" w:rsidR="00722962" w:rsidRPr="00011D22" w:rsidRDefault="00722962" w:rsidP="00722962">
            <w:pPr>
              <w:pStyle w:val="ListParagraph"/>
              <w:numPr>
                <w:ilvl w:val="2"/>
                <w:numId w:val="14"/>
              </w:numPr>
              <w:spacing w:after="160"/>
              <w:cnfStyle w:val="000000100000" w:firstRow="0" w:lastRow="0" w:firstColumn="0" w:lastColumn="0" w:oddVBand="0" w:evenVBand="0" w:oddHBand="1" w:evenHBand="0" w:firstRowFirstColumn="0" w:firstRowLastColumn="0" w:lastRowFirstColumn="0" w:lastRowLastColumn="0"/>
              <w:rPr>
                <w:color w:val="000000"/>
                <w:sz w:val="18"/>
                <w:szCs w:val="18"/>
              </w:rPr>
            </w:pPr>
            <w:r w:rsidRPr="00011D22">
              <w:rPr>
                <w:color w:val="000000"/>
                <w:sz w:val="18"/>
                <w:szCs w:val="18"/>
              </w:rPr>
              <w:t xml:space="preserve">Printing and distribution of the revised policies and guidelines to all levels / Partners   </w:t>
            </w:r>
          </w:p>
        </w:tc>
      </w:tr>
      <w:tr w:rsidR="00722962" w:rsidRPr="001A2A42" w14:paraId="27C98203" w14:textId="77777777" w:rsidTr="00722962">
        <w:trPr>
          <w:trHeight w:val="2634"/>
        </w:trPr>
        <w:tc>
          <w:tcPr>
            <w:cnfStyle w:val="001000000000" w:firstRow="0" w:lastRow="0" w:firstColumn="1" w:lastColumn="0" w:oddVBand="0" w:evenVBand="0" w:oddHBand="0" w:evenHBand="0" w:firstRowFirstColumn="0" w:firstRowLastColumn="0" w:lastRowFirstColumn="0" w:lastRowLastColumn="0"/>
            <w:tcW w:w="761" w:type="pct"/>
            <w:vMerge/>
            <w:tcBorders>
              <w:top w:val="single" w:sz="4" w:space="0" w:color="auto"/>
              <w:left w:val="single" w:sz="4" w:space="0" w:color="auto"/>
              <w:bottom w:val="single" w:sz="4" w:space="0" w:color="auto"/>
              <w:right w:val="single" w:sz="4" w:space="0" w:color="auto"/>
            </w:tcBorders>
          </w:tcPr>
          <w:p w14:paraId="3D4CC97A" w14:textId="77777777" w:rsidR="00722962" w:rsidRPr="00B714A0" w:rsidRDefault="00722962" w:rsidP="00722962">
            <w:pPr>
              <w:numPr>
                <w:ilvl w:val="0"/>
                <w:numId w:val="12"/>
              </w:numPr>
              <w:spacing w:before="60" w:after="60"/>
              <w:rPr>
                <w:sz w:val="18"/>
                <w:szCs w:val="18"/>
              </w:rPr>
            </w:pPr>
          </w:p>
        </w:tc>
        <w:tc>
          <w:tcPr>
            <w:tcW w:w="1210" w:type="pct"/>
            <w:tcBorders>
              <w:top w:val="single" w:sz="4" w:space="0" w:color="auto"/>
              <w:left w:val="single" w:sz="4" w:space="0" w:color="auto"/>
              <w:bottom w:val="single" w:sz="4" w:space="0" w:color="auto"/>
              <w:right w:val="single" w:sz="4" w:space="0" w:color="auto"/>
            </w:tcBorders>
          </w:tcPr>
          <w:p w14:paraId="45DA2031" w14:textId="348688B7" w:rsidR="00722962" w:rsidRPr="00011D22" w:rsidRDefault="00722962" w:rsidP="00722962">
            <w:pPr>
              <w:pStyle w:val="ListParagraph"/>
              <w:numPr>
                <w:ilvl w:val="1"/>
                <w:numId w:val="14"/>
              </w:numPr>
              <w:spacing w:before="60" w:after="60" w:line="300" w:lineRule="exact"/>
              <w:cnfStyle w:val="000000000000" w:firstRow="0" w:lastRow="0" w:firstColumn="0" w:lastColumn="0" w:oddVBand="0" w:evenVBand="0" w:oddHBand="0" w:evenHBand="0" w:firstRowFirstColumn="0" w:firstRowLastColumn="0" w:lastRowFirstColumn="0" w:lastRowLastColumn="0"/>
              <w:rPr>
                <w:sz w:val="18"/>
                <w:szCs w:val="18"/>
              </w:rPr>
            </w:pPr>
            <w:r w:rsidRPr="00011D22">
              <w:rPr>
                <w:color w:val="000000"/>
                <w:sz w:val="18"/>
                <w:szCs w:val="18"/>
              </w:rPr>
              <w:t xml:space="preserve">To conduct </w:t>
            </w:r>
            <w:proofErr w:type="gramStart"/>
            <w:r w:rsidRPr="00011D22">
              <w:rPr>
                <w:color w:val="000000"/>
                <w:sz w:val="18"/>
                <w:szCs w:val="18"/>
              </w:rPr>
              <w:t>population</w:t>
            </w:r>
            <w:proofErr w:type="gramEnd"/>
            <w:r w:rsidRPr="00011D22">
              <w:rPr>
                <w:color w:val="000000"/>
                <w:sz w:val="18"/>
                <w:szCs w:val="18"/>
              </w:rPr>
              <w:t xml:space="preserve"> estimate studies</w:t>
            </w:r>
            <w:r w:rsidR="00016E20">
              <w:rPr>
                <w:color w:val="000000"/>
                <w:sz w:val="18"/>
                <w:szCs w:val="18"/>
              </w:rPr>
              <w:t>/</w:t>
            </w:r>
            <w:r w:rsidRPr="00011D22">
              <w:rPr>
                <w:color w:val="000000"/>
                <w:sz w:val="18"/>
                <w:szCs w:val="18"/>
              </w:rPr>
              <w:t>assessments to address denominator issues</w:t>
            </w:r>
          </w:p>
        </w:tc>
        <w:tc>
          <w:tcPr>
            <w:tcW w:w="3029" w:type="pct"/>
            <w:tcBorders>
              <w:top w:val="single" w:sz="4" w:space="0" w:color="auto"/>
              <w:left w:val="single" w:sz="4" w:space="0" w:color="auto"/>
              <w:bottom w:val="single" w:sz="4" w:space="0" w:color="auto"/>
              <w:right w:val="single" w:sz="4" w:space="0" w:color="auto"/>
            </w:tcBorders>
          </w:tcPr>
          <w:p w14:paraId="5C11CD98" w14:textId="77777777" w:rsidR="00722962" w:rsidRPr="00011D22" w:rsidRDefault="00722962" w:rsidP="00722962">
            <w:pPr>
              <w:pStyle w:val="ListParagraph"/>
              <w:numPr>
                <w:ilvl w:val="2"/>
                <w:numId w:val="14"/>
              </w:numPr>
              <w:spacing w:after="160"/>
              <w:cnfStyle w:val="000000000000" w:firstRow="0" w:lastRow="0" w:firstColumn="0" w:lastColumn="0" w:oddVBand="0" w:evenVBand="0" w:oddHBand="0" w:evenHBand="0" w:firstRowFirstColumn="0" w:firstRowLastColumn="0" w:lastRowFirstColumn="0" w:lastRowLastColumn="0"/>
              <w:rPr>
                <w:color w:val="000000"/>
                <w:sz w:val="18"/>
                <w:szCs w:val="18"/>
              </w:rPr>
            </w:pPr>
            <w:r w:rsidRPr="00011D22">
              <w:rPr>
                <w:rFonts w:cs="Lucida Grande"/>
                <w:color w:val="000000"/>
                <w:sz w:val="18"/>
                <w:szCs w:val="18"/>
              </w:rPr>
              <w:t>Conduct GIS population estimates (study) in all the states + FCT</w:t>
            </w:r>
          </w:p>
          <w:p w14:paraId="3209193C" w14:textId="77777777" w:rsidR="00722962" w:rsidRPr="00011D22" w:rsidRDefault="00722962" w:rsidP="00722962">
            <w:pPr>
              <w:pStyle w:val="ListParagraph"/>
              <w:numPr>
                <w:ilvl w:val="2"/>
                <w:numId w:val="14"/>
              </w:numPr>
              <w:spacing w:after="160"/>
              <w:cnfStyle w:val="000000000000" w:firstRow="0" w:lastRow="0" w:firstColumn="0" w:lastColumn="0" w:oddVBand="0" w:evenVBand="0" w:oddHBand="0" w:evenHBand="0" w:firstRowFirstColumn="0" w:firstRowLastColumn="0" w:lastRowFirstColumn="0" w:lastRowLastColumn="0"/>
              <w:rPr>
                <w:color w:val="000000"/>
                <w:sz w:val="18"/>
                <w:szCs w:val="18"/>
              </w:rPr>
            </w:pPr>
            <w:r w:rsidRPr="00011D22">
              <w:rPr>
                <w:rFonts w:cs="Lucida Grande"/>
                <w:color w:val="000000"/>
                <w:sz w:val="18"/>
                <w:szCs w:val="18"/>
              </w:rPr>
              <w:t xml:space="preserve">Finalize walk-through micro-plan (HH enumeration) in 17 southern states + </w:t>
            </w:r>
            <w:proofErr w:type="spellStart"/>
            <w:r w:rsidRPr="00011D22">
              <w:rPr>
                <w:rFonts w:cs="Lucida Grande"/>
                <w:color w:val="000000"/>
                <w:sz w:val="18"/>
                <w:szCs w:val="18"/>
              </w:rPr>
              <w:t>Kogi</w:t>
            </w:r>
            <w:proofErr w:type="spellEnd"/>
            <w:r w:rsidRPr="00011D22">
              <w:rPr>
                <w:rFonts w:cs="Lucida Grande"/>
                <w:color w:val="000000"/>
                <w:sz w:val="18"/>
                <w:szCs w:val="18"/>
              </w:rPr>
              <w:t xml:space="preserve"> and </w:t>
            </w:r>
            <w:proofErr w:type="spellStart"/>
            <w:r w:rsidRPr="00011D22">
              <w:rPr>
                <w:rFonts w:cs="Lucida Grande"/>
                <w:color w:val="000000"/>
                <w:sz w:val="18"/>
                <w:szCs w:val="18"/>
              </w:rPr>
              <w:t>Kwara</w:t>
            </w:r>
            <w:proofErr w:type="spellEnd"/>
          </w:p>
          <w:p w14:paraId="2219E48C" w14:textId="7B2FF112" w:rsidR="00722962" w:rsidRPr="00011D22" w:rsidRDefault="00722962" w:rsidP="00722962">
            <w:pPr>
              <w:pStyle w:val="ListParagraph"/>
              <w:numPr>
                <w:ilvl w:val="2"/>
                <w:numId w:val="14"/>
              </w:numPr>
              <w:spacing w:after="160"/>
              <w:ind w:left="704" w:hanging="704"/>
              <w:cnfStyle w:val="000000000000" w:firstRow="0" w:lastRow="0" w:firstColumn="0" w:lastColumn="0" w:oddVBand="0" w:evenVBand="0" w:oddHBand="0" w:evenHBand="0" w:firstRowFirstColumn="0" w:firstRowLastColumn="0" w:lastRowFirstColumn="0" w:lastRowLastColumn="0"/>
              <w:rPr>
                <w:color w:val="000000"/>
                <w:sz w:val="18"/>
                <w:szCs w:val="18"/>
              </w:rPr>
            </w:pPr>
            <w:r w:rsidRPr="00011D22">
              <w:rPr>
                <w:rFonts w:cs="Lucida Grande"/>
                <w:color w:val="000000"/>
                <w:sz w:val="18"/>
                <w:szCs w:val="18"/>
              </w:rPr>
              <w:t>Hold engagement meetings with relevant stakeholders on the rationale</w:t>
            </w:r>
            <w:r w:rsidR="00016E20">
              <w:rPr>
                <w:rFonts w:cs="Lucida Grande"/>
                <w:color w:val="000000"/>
                <w:sz w:val="18"/>
                <w:szCs w:val="18"/>
              </w:rPr>
              <w:t>/</w:t>
            </w:r>
            <w:r w:rsidRPr="00011D22">
              <w:rPr>
                <w:rFonts w:cs="Lucida Grande"/>
                <w:color w:val="000000"/>
                <w:sz w:val="18"/>
                <w:szCs w:val="18"/>
              </w:rPr>
              <w:t>implication of the revised denominator</w:t>
            </w:r>
          </w:p>
          <w:p w14:paraId="566188DA" w14:textId="794032ED" w:rsidR="00722962" w:rsidRPr="00011D22" w:rsidRDefault="00722962" w:rsidP="00722962">
            <w:pPr>
              <w:pStyle w:val="ListParagraph"/>
              <w:numPr>
                <w:ilvl w:val="2"/>
                <w:numId w:val="14"/>
              </w:numPr>
              <w:spacing w:after="160"/>
              <w:ind w:left="704" w:hanging="704"/>
              <w:cnfStyle w:val="000000000000" w:firstRow="0" w:lastRow="0" w:firstColumn="0" w:lastColumn="0" w:oddVBand="0" w:evenVBand="0" w:oddHBand="0" w:evenHBand="0" w:firstRowFirstColumn="0" w:firstRowLastColumn="0" w:lastRowFirstColumn="0" w:lastRowLastColumn="0"/>
              <w:rPr>
                <w:color w:val="000000"/>
                <w:sz w:val="18"/>
                <w:szCs w:val="18"/>
              </w:rPr>
            </w:pPr>
            <w:r w:rsidRPr="00011D22">
              <w:rPr>
                <w:rFonts w:cs="Lucida Grande"/>
                <w:color w:val="000000"/>
                <w:sz w:val="18"/>
                <w:szCs w:val="18"/>
              </w:rPr>
              <w:t xml:space="preserve">Appoint an independent statistician as </w:t>
            </w:r>
            <w:r w:rsidR="00016E20">
              <w:rPr>
                <w:rFonts w:cs="Lucida Grande"/>
                <w:color w:val="000000"/>
                <w:sz w:val="18"/>
                <w:szCs w:val="18"/>
              </w:rPr>
              <w:t xml:space="preserve">a </w:t>
            </w:r>
            <w:r w:rsidRPr="00011D22">
              <w:rPr>
                <w:rFonts w:cs="Lucida Grande"/>
                <w:color w:val="000000"/>
                <w:sz w:val="18"/>
                <w:szCs w:val="18"/>
              </w:rPr>
              <w:t xml:space="preserve">consultant for aggregation and triangulation of the different data sources </w:t>
            </w:r>
          </w:p>
          <w:p w14:paraId="76CC03A9" w14:textId="77777777" w:rsidR="00722962" w:rsidRPr="00011D22" w:rsidRDefault="00722962" w:rsidP="00722962">
            <w:pPr>
              <w:pStyle w:val="ListParagraph"/>
              <w:numPr>
                <w:ilvl w:val="2"/>
                <w:numId w:val="14"/>
              </w:numPr>
              <w:spacing w:after="160"/>
              <w:ind w:left="704" w:hanging="704"/>
              <w:cnfStyle w:val="000000000000" w:firstRow="0" w:lastRow="0" w:firstColumn="0" w:lastColumn="0" w:oddVBand="0" w:evenVBand="0" w:oddHBand="0" w:evenHBand="0" w:firstRowFirstColumn="0" w:firstRowLastColumn="0" w:lastRowFirstColumn="0" w:lastRowLastColumn="0"/>
              <w:rPr>
                <w:color w:val="000000"/>
                <w:sz w:val="18"/>
                <w:szCs w:val="18"/>
              </w:rPr>
            </w:pPr>
            <w:r w:rsidRPr="00011D22">
              <w:rPr>
                <w:rFonts w:cs="Lucida Grande"/>
                <w:color w:val="000000"/>
                <w:sz w:val="18"/>
                <w:szCs w:val="18"/>
              </w:rPr>
              <w:t xml:space="preserve">Set up an inter-agency technical committee (5 members) to collect and compile all the final reports of population estimation from different sources. </w:t>
            </w:r>
          </w:p>
          <w:p w14:paraId="0BB55CE3" w14:textId="77777777" w:rsidR="00722962" w:rsidRPr="00011D22" w:rsidRDefault="00722962" w:rsidP="00722962">
            <w:pPr>
              <w:pStyle w:val="ListParagraph"/>
              <w:numPr>
                <w:ilvl w:val="2"/>
                <w:numId w:val="14"/>
              </w:numPr>
              <w:spacing w:after="160"/>
              <w:cnfStyle w:val="000000000000" w:firstRow="0" w:lastRow="0" w:firstColumn="0" w:lastColumn="0" w:oddVBand="0" w:evenVBand="0" w:oddHBand="0" w:evenHBand="0" w:firstRowFirstColumn="0" w:firstRowLastColumn="0" w:lastRowFirstColumn="0" w:lastRowLastColumn="0"/>
              <w:rPr>
                <w:color w:val="000000"/>
                <w:sz w:val="18"/>
                <w:szCs w:val="18"/>
              </w:rPr>
            </w:pPr>
            <w:r w:rsidRPr="00011D22">
              <w:rPr>
                <w:rFonts w:cs="Lucida Grande"/>
                <w:color w:val="000000"/>
                <w:sz w:val="18"/>
                <w:szCs w:val="18"/>
              </w:rPr>
              <w:t xml:space="preserve">Finalize and share report of the inter-Agency population estimates committee </w:t>
            </w:r>
          </w:p>
          <w:p w14:paraId="47B938EC" w14:textId="2EEEA3D0" w:rsidR="00722962" w:rsidRPr="00011D22" w:rsidRDefault="00722962" w:rsidP="00722962">
            <w:pPr>
              <w:pStyle w:val="ListParagraph"/>
              <w:numPr>
                <w:ilvl w:val="2"/>
                <w:numId w:val="14"/>
              </w:numPr>
              <w:spacing w:after="160"/>
              <w:ind w:left="704" w:hanging="704"/>
              <w:cnfStyle w:val="000000000000" w:firstRow="0" w:lastRow="0" w:firstColumn="0" w:lastColumn="0" w:oddVBand="0" w:evenVBand="0" w:oddHBand="0" w:evenHBand="0" w:firstRowFirstColumn="0" w:firstRowLastColumn="0" w:lastRowFirstColumn="0" w:lastRowLastColumn="0"/>
              <w:rPr>
                <w:color w:val="000000"/>
                <w:sz w:val="18"/>
                <w:szCs w:val="18"/>
              </w:rPr>
            </w:pPr>
            <w:r w:rsidRPr="00011D22">
              <w:rPr>
                <w:rFonts w:cs="Lucida Grande"/>
                <w:color w:val="000000"/>
                <w:sz w:val="18"/>
                <w:szCs w:val="18"/>
              </w:rPr>
              <w:t xml:space="preserve">Begin early meetings with </w:t>
            </w:r>
            <w:proofErr w:type="spellStart"/>
            <w:r w:rsidRPr="00011D22">
              <w:rPr>
                <w:rFonts w:cs="Lucida Grande"/>
                <w:color w:val="000000"/>
                <w:sz w:val="18"/>
                <w:szCs w:val="18"/>
              </w:rPr>
              <w:t>NPopC</w:t>
            </w:r>
            <w:proofErr w:type="spellEnd"/>
            <w:r w:rsidRPr="00011D22">
              <w:rPr>
                <w:rFonts w:cs="Lucida Grande"/>
                <w:color w:val="000000"/>
                <w:sz w:val="18"/>
                <w:szCs w:val="18"/>
              </w:rPr>
              <w:t xml:space="preserve"> to re-configure the age structures to accommodate the health demographics in </w:t>
            </w:r>
            <w:r w:rsidR="00016E20">
              <w:rPr>
                <w:rFonts w:cs="Lucida Grande"/>
                <w:color w:val="000000"/>
                <w:sz w:val="18"/>
                <w:szCs w:val="18"/>
              </w:rPr>
              <w:t xml:space="preserve">the </w:t>
            </w:r>
            <w:r w:rsidRPr="00011D22">
              <w:rPr>
                <w:rFonts w:cs="Lucida Grande"/>
                <w:color w:val="000000"/>
                <w:sz w:val="18"/>
                <w:szCs w:val="18"/>
              </w:rPr>
              <w:t>2018-planned census.</w:t>
            </w:r>
          </w:p>
        </w:tc>
      </w:tr>
      <w:tr w:rsidR="00722962" w:rsidRPr="001A2A42" w14:paraId="7102862D" w14:textId="77777777" w:rsidTr="00722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vMerge/>
            <w:tcBorders>
              <w:top w:val="single" w:sz="4" w:space="0" w:color="auto"/>
              <w:left w:val="single" w:sz="4" w:space="0" w:color="auto"/>
              <w:bottom w:val="single" w:sz="4" w:space="0" w:color="auto"/>
              <w:right w:val="single" w:sz="4" w:space="0" w:color="auto"/>
            </w:tcBorders>
          </w:tcPr>
          <w:p w14:paraId="788D837B" w14:textId="77777777" w:rsidR="00722962" w:rsidRPr="00B714A0" w:rsidRDefault="00722962" w:rsidP="00722962">
            <w:pPr>
              <w:numPr>
                <w:ilvl w:val="0"/>
                <w:numId w:val="12"/>
              </w:numPr>
              <w:spacing w:before="60" w:after="60"/>
              <w:rPr>
                <w:sz w:val="18"/>
                <w:szCs w:val="18"/>
              </w:rPr>
            </w:pPr>
          </w:p>
        </w:tc>
        <w:tc>
          <w:tcPr>
            <w:tcW w:w="1210" w:type="pct"/>
            <w:tcBorders>
              <w:top w:val="single" w:sz="4" w:space="0" w:color="auto"/>
              <w:left w:val="single" w:sz="4" w:space="0" w:color="auto"/>
              <w:bottom w:val="single" w:sz="4" w:space="0" w:color="auto"/>
              <w:right w:val="single" w:sz="4" w:space="0" w:color="auto"/>
            </w:tcBorders>
          </w:tcPr>
          <w:p w14:paraId="67F9F014" w14:textId="77777777" w:rsidR="00722962" w:rsidRPr="00011D22" w:rsidRDefault="00722962" w:rsidP="00722962">
            <w:pPr>
              <w:pStyle w:val="ListParagraph"/>
              <w:numPr>
                <w:ilvl w:val="1"/>
                <w:numId w:val="14"/>
              </w:numPr>
              <w:spacing w:before="60" w:after="60" w:line="300" w:lineRule="exact"/>
              <w:cnfStyle w:val="000000100000" w:firstRow="0" w:lastRow="0" w:firstColumn="0" w:lastColumn="0" w:oddVBand="0" w:evenVBand="0" w:oddHBand="1" w:evenHBand="0" w:firstRowFirstColumn="0" w:firstRowLastColumn="0" w:lastRowFirstColumn="0" w:lastRowLastColumn="0"/>
              <w:rPr>
                <w:color w:val="000000"/>
                <w:sz w:val="18"/>
                <w:szCs w:val="18"/>
              </w:rPr>
            </w:pPr>
            <w:r w:rsidRPr="00011D22">
              <w:rPr>
                <w:color w:val="000000"/>
                <w:sz w:val="18"/>
                <w:szCs w:val="18"/>
              </w:rPr>
              <w:t>To establish data consultative forums at national and subnational levels</w:t>
            </w:r>
          </w:p>
        </w:tc>
        <w:tc>
          <w:tcPr>
            <w:tcW w:w="3029" w:type="pct"/>
            <w:tcBorders>
              <w:top w:val="single" w:sz="4" w:space="0" w:color="auto"/>
              <w:left w:val="single" w:sz="4" w:space="0" w:color="auto"/>
              <w:bottom w:val="single" w:sz="4" w:space="0" w:color="auto"/>
              <w:right w:val="single" w:sz="4" w:space="0" w:color="auto"/>
            </w:tcBorders>
          </w:tcPr>
          <w:p w14:paraId="7A7C2CC4" w14:textId="77777777" w:rsidR="00722962" w:rsidRPr="00011D22" w:rsidRDefault="00722962" w:rsidP="00722962">
            <w:pPr>
              <w:pStyle w:val="ListParagraph"/>
              <w:numPr>
                <w:ilvl w:val="2"/>
                <w:numId w:val="14"/>
              </w:numPr>
              <w:spacing w:after="160"/>
              <w:ind w:left="704" w:hanging="704"/>
              <w:cnfStyle w:val="000000100000" w:firstRow="0" w:lastRow="0" w:firstColumn="0" w:lastColumn="0" w:oddVBand="0" w:evenVBand="0" w:oddHBand="1" w:evenHBand="0" w:firstRowFirstColumn="0" w:firstRowLastColumn="0" w:lastRowFirstColumn="0" w:lastRowLastColumn="0"/>
              <w:rPr>
                <w:color w:val="000000"/>
                <w:sz w:val="18"/>
                <w:szCs w:val="18"/>
              </w:rPr>
            </w:pPr>
            <w:r w:rsidRPr="00011D22">
              <w:rPr>
                <w:color w:val="000000"/>
                <w:sz w:val="18"/>
                <w:szCs w:val="18"/>
              </w:rPr>
              <w:t>To conduct zonal level consultative meetings to identify poor data quality influencers at subnational levels</w:t>
            </w:r>
          </w:p>
          <w:p w14:paraId="08CE64ED" w14:textId="77777777" w:rsidR="00722962" w:rsidRPr="00011D22" w:rsidRDefault="00722962" w:rsidP="00722962">
            <w:pPr>
              <w:pStyle w:val="ListParagraph"/>
              <w:numPr>
                <w:ilvl w:val="2"/>
                <w:numId w:val="14"/>
              </w:numPr>
              <w:spacing w:after="160"/>
              <w:cnfStyle w:val="000000100000" w:firstRow="0" w:lastRow="0" w:firstColumn="0" w:lastColumn="0" w:oddVBand="0" w:evenVBand="0" w:oddHBand="1" w:evenHBand="0" w:firstRowFirstColumn="0" w:firstRowLastColumn="0" w:lastRowFirstColumn="0" w:lastRowLastColumn="0"/>
              <w:rPr>
                <w:color w:val="000000"/>
                <w:sz w:val="18"/>
                <w:szCs w:val="18"/>
              </w:rPr>
            </w:pPr>
            <w:r w:rsidRPr="00011D22">
              <w:rPr>
                <w:color w:val="000000"/>
                <w:sz w:val="18"/>
                <w:szCs w:val="18"/>
              </w:rPr>
              <w:t>To review data quality gaps and the implementation of strategies to resolve them</w:t>
            </w:r>
          </w:p>
        </w:tc>
      </w:tr>
      <w:tr w:rsidR="00722962" w:rsidRPr="001A2A42" w14:paraId="37BA40F6" w14:textId="77777777" w:rsidTr="00722962">
        <w:tc>
          <w:tcPr>
            <w:cnfStyle w:val="001000000000" w:firstRow="0" w:lastRow="0" w:firstColumn="1" w:lastColumn="0" w:oddVBand="0" w:evenVBand="0" w:oddHBand="0" w:evenHBand="0" w:firstRowFirstColumn="0" w:firstRowLastColumn="0" w:lastRowFirstColumn="0" w:lastRowLastColumn="0"/>
            <w:tcW w:w="761" w:type="pct"/>
            <w:tcBorders>
              <w:top w:val="single" w:sz="4" w:space="0" w:color="auto"/>
              <w:left w:val="single" w:sz="4" w:space="0" w:color="auto"/>
              <w:bottom w:val="single" w:sz="4" w:space="0" w:color="auto"/>
              <w:right w:val="single" w:sz="4" w:space="0" w:color="auto"/>
            </w:tcBorders>
          </w:tcPr>
          <w:p w14:paraId="08E26164" w14:textId="77777777" w:rsidR="00722962" w:rsidRPr="00011D22" w:rsidRDefault="00722962" w:rsidP="00722962">
            <w:pPr>
              <w:numPr>
                <w:ilvl w:val="0"/>
                <w:numId w:val="12"/>
              </w:numPr>
              <w:spacing w:before="60" w:after="60"/>
              <w:rPr>
                <w:sz w:val="18"/>
                <w:szCs w:val="18"/>
              </w:rPr>
            </w:pPr>
          </w:p>
        </w:tc>
        <w:tc>
          <w:tcPr>
            <w:tcW w:w="1210" w:type="pct"/>
            <w:tcBorders>
              <w:top w:val="single" w:sz="4" w:space="0" w:color="auto"/>
              <w:left w:val="single" w:sz="4" w:space="0" w:color="auto"/>
              <w:bottom w:val="single" w:sz="4" w:space="0" w:color="auto"/>
              <w:right w:val="single" w:sz="4" w:space="0" w:color="auto"/>
            </w:tcBorders>
          </w:tcPr>
          <w:p w14:paraId="6FBEE250" w14:textId="140F23D4" w:rsidR="00722962" w:rsidRPr="00D7036A" w:rsidRDefault="00722962" w:rsidP="00722962">
            <w:pPr>
              <w:pStyle w:val="ListParagraph"/>
              <w:numPr>
                <w:ilvl w:val="1"/>
                <w:numId w:val="14"/>
              </w:numPr>
              <w:spacing w:before="60" w:after="60" w:line="300" w:lineRule="exact"/>
              <w:cnfStyle w:val="000000000000" w:firstRow="0" w:lastRow="0" w:firstColumn="0" w:lastColumn="0" w:oddVBand="0" w:evenVBand="0" w:oddHBand="0" w:evenHBand="0" w:firstRowFirstColumn="0" w:firstRowLastColumn="0" w:lastRowFirstColumn="0" w:lastRowLastColumn="0"/>
              <w:rPr>
                <w:color w:val="000000"/>
                <w:sz w:val="18"/>
                <w:szCs w:val="18"/>
              </w:rPr>
            </w:pPr>
            <w:r w:rsidRPr="00D7036A">
              <w:rPr>
                <w:color w:val="000000"/>
                <w:sz w:val="18"/>
                <w:szCs w:val="18"/>
              </w:rPr>
              <w:t>To strengthen data quality audit, assurance</w:t>
            </w:r>
            <w:r w:rsidR="00016E20">
              <w:rPr>
                <w:color w:val="000000"/>
                <w:sz w:val="18"/>
                <w:szCs w:val="18"/>
              </w:rPr>
              <w:t>,</w:t>
            </w:r>
            <w:r w:rsidRPr="00D7036A">
              <w:rPr>
                <w:color w:val="000000"/>
                <w:sz w:val="18"/>
                <w:szCs w:val="18"/>
              </w:rPr>
              <w:t xml:space="preserve"> and assessment mechanisms</w:t>
            </w:r>
          </w:p>
        </w:tc>
        <w:tc>
          <w:tcPr>
            <w:tcW w:w="3029" w:type="pct"/>
            <w:tcBorders>
              <w:top w:val="single" w:sz="4" w:space="0" w:color="auto"/>
              <w:left w:val="single" w:sz="4" w:space="0" w:color="auto"/>
              <w:bottom w:val="single" w:sz="4" w:space="0" w:color="auto"/>
              <w:right w:val="single" w:sz="4" w:space="0" w:color="auto"/>
            </w:tcBorders>
          </w:tcPr>
          <w:p w14:paraId="08FCFE9E" w14:textId="23DE3783" w:rsidR="00722962" w:rsidRPr="00D7036A" w:rsidRDefault="00722962" w:rsidP="00722962">
            <w:pPr>
              <w:pStyle w:val="ListParagraph"/>
              <w:numPr>
                <w:ilvl w:val="2"/>
                <w:numId w:val="14"/>
              </w:numPr>
              <w:spacing w:after="160"/>
              <w:ind w:left="704" w:hanging="704"/>
              <w:cnfStyle w:val="000000000000" w:firstRow="0" w:lastRow="0" w:firstColumn="0" w:lastColumn="0" w:oddVBand="0" w:evenVBand="0" w:oddHBand="0" w:evenHBand="0" w:firstRowFirstColumn="0" w:firstRowLastColumn="0" w:lastRowFirstColumn="0" w:lastRowLastColumn="0"/>
              <w:rPr>
                <w:color w:val="000000"/>
                <w:sz w:val="18"/>
                <w:szCs w:val="18"/>
              </w:rPr>
            </w:pPr>
            <w:r w:rsidRPr="00D7036A">
              <w:rPr>
                <w:color w:val="000000"/>
                <w:sz w:val="18"/>
                <w:szCs w:val="18"/>
              </w:rPr>
              <w:t>Conduct quarterly data quality self-assessments (DQS)/data quality audits (DQAs) using tally sheets, LGA summary sheets</w:t>
            </w:r>
            <w:r w:rsidR="00016E20">
              <w:rPr>
                <w:color w:val="000000"/>
                <w:sz w:val="18"/>
                <w:szCs w:val="18"/>
              </w:rPr>
              <w:t>,</w:t>
            </w:r>
            <w:r w:rsidRPr="00D7036A">
              <w:rPr>
                <w:color w:val="000000"/>
                <w:sz w:val="18"/>
                <w:szCs w:val="18"/>
              </w:rPr>
              <w:t xml:space="preserve"> and immunization registers</w:t>
            </w:r>
          </w:p>
          <w:p w14:paraId="6CC0A812" w14:textId="1F04589C" w:rsidR="00722962" w:rsidRPr="00D7036A" w:rsidRDefault="00722962" w:rsidP="00722962">
            <w:pPr>
              <w:pStyle w:val="ListParagraph"/>
              <w:numPr>
                <w:ilvl w:val="2"/>
                <w:numId w:val="14"/>
              </w:numPr>
              <w:spacing w:after="160"/>
              <w:ind w:left="704" w:hanging="704"/>
              <w:cnfStyle w:val="000000000000" w:firstRow="0" w:lastRow="0" w:firstColumn="0" w:lastColumn="0" w:oddVBand="0" w:evenVBand="0" w:oddHBand="0" w:evenHBand="0" w:firstRowFirstColumn="0" w:firstRowLastColumn="0" w:lastRowFirstColumn="0" w:lastRowLastColumn="0"/>
              <w:rPr>
                <w:color w:val="000000"/>
                <w:sz w:val="18"/>
                <w:szCs w:val="18"/>
              </w:rPr>
            </w:pPr>
            <w:r w:rsidRPr="00D7036A">
              <w:rPr>
                <w:color w:val="000000"/>
                <w:sz w:val="18"/>
                <w:szCs w:val="18"/>
              </w:rPr>
              <w:t>Harmonize conduct of quarterly data quality audits (DQAs)/data quality self-assessments (DQS) at all levels using tally sheets, LGA summary sheets</w:t>
            </w:r>
            <w:r w:rsidR="00016E20">
              <w:rPr>
                <w:color w:val="000000"/>
                <w:sz w:val="18"/>
                <w:szCs w:val="18"/>
              </w:rPr>
              <w:t>,</w:t>
            </w:r>
            <w:r w:rsidRPr="00D7036A">
              <w:rPr>
                <w:color w:val="000000"/>
                <w:sz w:val="18"/>
                <w:szCs w:val="18"/>
              </w:rPr>
              <w:t xml:space="preserve"> and immunization registers</w:t>
            </w:r>
          </w:p>
          <w:p w14:paraId="35FCAEFB" w14:textId="77777777" w:rsidR="00722962" w:rsidRPr="00D7036A" w:rsidRDefault="00722962" w:rsidP="00722962">
            <w:pPr>
              <w:pStyle w:val="ListParagraph"/>
              <w:numPr>
                <w:ilvl w:val="2"/>
                <w:numId w:val="14"/>
              </w:numPr>
              <w:spacing w:after="160"/>
              <w:ind w:left="704" w:hanging="704"/>
              <w:cnfStyle w:val="000000000000" w:firstRow="0" w:lastRow="0" w:firstColumn="0" w:lastColumn="0" w:oddVBand="0" w:evenVBand="0" w:oddHBand="0" w:evenHBand="0" w:firstRowFirstColumn="0" w:firstRowLastColumn="0" w:lastRowFirstColumn="0" w:lastRowLastColumn="0"/>
              <w:rPr>
                <w:color w:val="000000"/>
                <w:sz w:val="18"/>
                <w:szCs w:val="18"/>
              </w:rPr>
            </w:pPr>
            <w:r w:rsidRPr="00D7036A">
              <w:rPr>
                <w:color w:val="000000"/>
                <w:sz w:val="18"/>
                <w:szCs w:val="18"/>
              </w:rPr>
              <w:t xml:space="preserve">Conduct data quality spot checks assess issues with data at lower levels in selected states and LGAs </w:t>
            </w:r>
          </w:p>
          <w:p w14:paraId="39D19126" w14:textId="0C5E1EC3" w:rsidR="00722962" w:rsidRPr="00D7036A" w:rsidRDefault="00722962" w:rsidP="00722962">
            <w:pPr>
              <w:pStyle w:val="ListParagraph"/>
              <w:numPr>
                <w:ilvl w:val="2"/>
                <w:numId w:val="14"/>
              </w:numPr>
              <w:spacing w:after="160"/>
              <w:ind w:left="704" w:hanging="704"/>
              <w:cnfStyle w:val="000000000000" w:firstRow="0" w:lastRow="0" w:firstColumn="0" w:lastColumn="0" w:oddVBand="0" w:evenVBand="0" w:oddHBand="0" w:evenHBand="0" w:firstRowFirstColumn="0" w:firstRowLastColumn="0" w:lastRowFirstColumn="0" w:lastRowLastColumn="0"/>
              <w:rPr>
                <w:color w:val="000000"/>
                <w:sz w:val="18"/>
                <w:szCs w:val="18"/>
              </w:rPr>
            </w:pPr>
            <w:r w:rsidRPr="00D7036A">
              <w:rPr>
                <w:color w:val="000000"/>
                <w:sz w:val="18"/>
                <w:szCs w:val="18"/>
              </w:rPr>
              <w:lastRenderedPageBreak/>
              <w:t>Conduct data quality deep</w:t>
            </w:r>
            <w:r w:rsidR="00016E20">
              <w:rPr>
                <w:color w:val="000000"/>
                <w:sz w:val="18"/>
                <w:szCs w:val="18"/>
              </w:rPr>
              <w:t>-</w:t>
            </w:r>
            <w:r w:rsidRPr="00D7036A">
              <w:rPr>
                <w:color w:val="000000"/>
                <w:sz w:val="18"/>
                <w:szCs w:val="18"/>
              </w:rPr>
              <w:t>dive assessments to assess interrelationships with data use and deeper level assessments of data gaps at various levels</w:t>
            </w:r>
          </w:p>
        </w:tc>
      </w:tr>
      <w:tr w:rsidR="00722962" w:rsidRPr="001A2A42" w14:paraId="7FD8945F" w14:textId="77777777" w:rsidTr="00722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Borders>
              <w:top w:val="single" w:sz="4" w:space="0" w:color="auto"/>
              <w:left w:val="single" w:sz="4" w:space="0" w:color="auto"/>
              <w:bottom w:val="single" w:sz="4" w:space="0" w:color="auto"/>
              <w:right w:val="single" w:sz="4" w:space="0" w:color="auto"/>
            </w:tcBorders>
          </w:tcPr>
          <w:p w14:paraId="7F5AF541" w14:textId="77777777" w:rsidR="00722962" w:rsidRPr="00D7036A" w:rsidRDefault="00722962" w:rsidP="00722962">
            <w:pPr>
              <w:numPr>
                <w:ilvl w:val="0"/>
                <w:numId w:val="12"/>
              </w:numPr>
              <w:spacing w:before="60" w:after="60"/>
              <w:rPr>
                <w:sz w:val="18"/>
                <w:szCs w:val="18"/>
              </w:rPr>
            </w:pPr>
          </w:p>
        </w:tc>
        <w:tc>
          <w:tcPr>
            <w:tcW w:w="1210" w:type="pct"/>
            <w:tcBorders>
              <w:top w:val="single" w:sz="4" w:space="0" w:color="auto"/>
              <w:left w:val="single" w:sz="4" w:space="0" w:color="auto"/>
              <w:bottom w:val="single" w:sz="4" w:space="0" w:color="auto"/>
              <w:right w:val="single" w:sz="4" w:space="0" w:color="auto"/>
            </w:tcBorders>
          </w:tcPr>
          <w:p w14:paraId="5F7FC149" w14:textId="285F3B84" w:rsidR="00722962" w:rsidRPr="00D7036A" w:rsidRDefault="00722962" w:rsidP="00722962">
            <w:pPr>
              <w:pStyle w:val="ListParagraph"/>
              <w:numPr>
                <w:ilvl w:val="1"/>
                <w:numId w:val="14"/>
              </w:numPr>
              <w:spacing w:before="60" w:after="60" w:line="300" w:lineRule="exact"/>
              <w:cnfStyle w:val="000000100000" w:firstRow="0" w:lastRow="0" w:firstColumn="0" w:lastColumn="0" w:oddVBand="0" w:evenVBand="0" w:oddHBand="1" w:evenHBand="0" w:firstRowFirstColumn="0" w:firstRowLastColumn="0" w:lastRowFirstColumn="0" w:lastRowLastColumn="0"/>
              <w:rPr>
                <w:sz w:val="18"/>
                <w:szCs w:val="18"/>
              </w:rPr>
            </w:pPr>
            <w:r w:rsidRPr="00D7036A">
              <w:rPr>
                <w:color w:val="000000"/>
                <w:sz w:val="18"/>
                <w:szCs w:val="18"/>
              </w:rPr>
              <w:t>Improve evidence</w:t>
            </w:r>
            <w:r w:rsidR="00016E20">
              <w:rPr>
                <w:color w:val="000000"/>
                <w:sz w:val="18"/>
                <w:szCs w:val="18"/>
              </w:rPr>
              <w:t>-</w:t>
            </w:r>
            <w:r w:rsidRPr="00D7036A">
              <w:rPr>
                <w:color w:val="000000"/>
                <w:sz w:val="18"/>
                <w:szCs w:val="18"/>
              </w:rPr>
              <w:t xml:space="preserve">based for decision making and planning on </w:t>
            </w:r>
            <w:r w:rsidR="00016E20">
              <w:rPr>
                <w:color w:val="000000"/>
                <w:sz w:val="18"/>
                <w:szCs w:val="18"/>
              </w:rPr>
              <w:t xml:space="preserve">the </w:t>
            </w:r>
            <w:r w:rsidRPr="00D7036A">
              <w:rPr>
                <w:color w:val="000000"/>
                <w:sz w:val="18"/>
                <w:szCs w:val="18"/>
              </w:rPr>
              <w:t>immunization program</w:t>
            </w:r>
          </w:p>
        </w:tc>
        <w:tc>
          <w:tcPr>
            <w:tcW w:w="3029" w:type="pct"/>
            <w:tcBorders>
              <w:top w:val="single" w:sz="4" w:space="0" w:color="auto"/>
              <w:left w:val="single" w:sz="4" w:space="0" w:color="auto"/>
              <w:bottom w:val="single" w:sz="4" w:space="0" w:color="auto"/>
              <w:right w:val="single" w:sz="4" w:space="0" w:color="auto"/>
            </w:tcBorders>
          </w:tcPr>
          <w:p w14:paraId="43270554" w14:textId="77777777" w:rsidR="00722962" w:rsidRPr="00D7036A" w:rsidRDefault="00722962" w:rsidP="00722962">
            <w:pPr>
              <w:pStyle w:val="ListParagraph"/>
              <w:numPr>
                <w:ilvl w:val="2"/>
                <w:numId w:val="14"/>
              </w:numPr>
              <w:spacing w:after="160"/>
              <w:ind w:left="704" w:hanging="704"/>
              <w:cnfStyle w:val="000000100000" w:firstRow="0" w:lastRow="0" w:firstColumn="0" w:lastColumn="0" w:oddVBand="0" w:evenVBand="0" w:oddHBand="1" w:evenHBand="0" w:firstRowFirstColumn="0" w:firstRowLastColumn="0" w:lastRowFirstColumn="0" w:lastRowLastColumn="0"/>
              <w:rPr>
                <w:sz w:val="18"/>
                <w:szCs w:val="18"/>
              </w:rPr>
            </w:pPr>
            <w:r w:rsidRPr="00D7036A">
              <w:rPr>
                <w:color w:val="000000"/>
                <w:sz w:val="18"/>
                <w:szCs w:val="18"/>
              </w:rPr>
              <w:t xml:space="preserve">Assessment of the perception and acceptance of the card by the community, including factors influencing car retention </w:t>
            </w:r>
          </w:p>
          <w:p w14:paraId="4B04525D" w14:textId="77777777" w:rsidR="00722962" w:rsidRPr="00D7036A" w:rsidRDefault="00722962" w:rsidP="00722962">
            <w:pPr>
              <w:pStyle w:val="ListParagraph"/>
              <w:numPr>
                <w:ilvl w:val="2"/>
                <w:numId w:val="14"/>
              </w:numPr>
              <w:spacing w:after="160"/>
              <w:ind w:left="704" w:hanging="704"/>
              <w:cnfStyle w:val="000000100000" w:firstRow="0" w:lastRow="0" w:firstColumn="0" w:lastColumn="0" w:oddVBand="0" w:evenVBand="0" w:oddHBand="1" w:evenHBand="0" w:firstRowFirstColumn="0" w:firstRowLastColumn="0" w:lastRowFirstColumn="0" w:lastRowLastColumn="0"/>
              <w:rPr>
                <w:sz w:val="18"/>
                <w:szCs w:val="18"/>
              </w:rPr>
            </w:pPr>
            <w:r w:rsidRPr="00D7036A">
              <w:rPr>
                <w:color w:val="000000"/>
                <w:sz w:val="18"/>
                <w:szCs w:val="18"/>
              </w:rPr>
              <w:t>Conduct an assessment to determine the training needs of the health workers as it relates to data quality</w:t>
            </w:r>
          </w:p>
        </w:tc>
      </w:tr>
      <w:tr w:rsidR="00722962" w:rsidRPr="001A2A42" w14:paraId="380F9607" w14:textId="77777777" w:rsidTr="00722962">
        <w:tc>
          <w:tcPr>
            <w:cnfStyle w:val="001000000000" w:firstRow="0" w:lastRow="0" w:firstColumn="1" w:lastColumn="0" w:oddVBand="0" w:evenVBand="0" w:oddHBand="0" w:evenHBand="0" w:firstRowFirstColumn="0" w:firstRowLastColumn="0" w:lastRowFirstColumn="0" w:lastRowLastColumn="0"/>
            <w:tcW w:w="761" w:type="pct"/>
            <w:vMerge w:val="restart"/>
            <w:tcBorders>
              <w:top w:val="single" w:sz="4" w:space="0" w:color="auto"/>
              <w:left w:val="single" w:sz="4" w:space="0" w:color="auto"/>
              <w:right w:val="single" w:sz="4" w:space="0" w:color="auto"/>
            </w:tcBorders>
          </w:tcPr>
          <w:p w14:paraId="32C0F181" w14:textId="77777777" w:rsidR="00722962" w:rsidRPr="00D7036A" w:rsidRDefault="00722962" w:rsidP="00983241">
            <w:pPr>
              <w:spacing w:before="60" w:after="60" w:line="300" w:lineRule="exact"/>
              <w:rPr>
                <w:b w:val="0"/>
                <w:sz w:val="18"/>
                <w:szCs w:val="18"/>
              </w:rPr>
            </w:pPr>
            <w:r w:rsidRPr="00D7036A">
              <w:rPr>
                <w:sz w:val="18"/>
                <w:szCs w:val="18"/>
              </w:rPr>
              <w:t>3. To improve routine immunization performance through the availability of clean, reliable, accurate and timely RI data for decision making</w:t>
            </w:r>
          </w:p>
        </w:tc>
        <w:tc>
          <w:tcPr>
            <w:tcW w:w="1210" w:type="pct"/>
            <w:tcBorders>
              <w:top w:val="single" w:sz="4" w:space="0" w:color="auto"/>
              <w:left w:val="single" w:sz="4" w:space="0" w:color="auto"/>
              <w:bottom w:val="single" w:sz="4" w:space="0" w:color="auto"/>
              <w:right w:val="single" w:sz="4" w:space="0" w:color="auto"/>
            </w:tcBorders>
          </w:tcPr>
          <w:p w14:paraId="2EFDB868" w14:textId="77777777" w:rsidR="00722962" w:rsidRPr="00D7036A" w:rsidRDefault="00722962" w:rsidP="00722962">
            <w:pPr>
              <w:pStyle w:val="ListParagraph"/>
              <w:numPr>
                <w:ilvl w:val="1"/>
                <w:numId w:val="15"/>
              </w:numPr>
              <w:spacing w:before="60" w:after="60" w:line="300" w:lineRule="exact"/>
              <w:cnfStyle w:val="000000000000" w:firstRow="0" w:lastRow="0" w:firstColumn="0" w:lastColumn="0" w:oddVBand="0" w:evenVBand="0" w:oddHBand="0" w:evenHBand="0" w:firstRowFirstColumn="0" w:firstRowLastColumn="0" w:lastRowFirstColumn="0" w:lastRowLastColumn="0"/>
              <w:rPr>
                <w:color w:val="000000"/>
                <w:sz w:val="18"/>
                <w:szCs w:val="18"/>
              </w:rPr>
            </w:pPr>
            <w:r w:rsidRPr="00D7036A">
              <w:rPr>
                <w:color w:val="000000"/>
                <w:sz w:val="18"/>
                <w:szCs w:val="18"/>
              </w:rPr>
              <w:t>To focus on the data of the actual number of clients reached pending the finalization of all processes to address numerator issues</w:t>
            </w:r>
          </w:p>
        </w:tc>
        <w:tc>
          <w:tcPr>
            <w:tcW w:w="3029" w:type="pct"/>
            <w:tcBorders>
              <w:top w:val="single" w:sz="4" w:space="0" w:color="auto"/>
              <w:left w:val="single" w:sz="4" w:space="0" w:color="auto"/>
              <w:bottom w:val="single" w:sz="4" w:space="0" w:color="auto"/>
              <w:right w:val="single" w:sz="4" w:space="0" w:color="auto"/>
            </w:tcBorders>
            <w:vAlign w:val="center"/>
          </w:tcPr>
          <w:p w14:paraId="56983FC0" w14:textId="77777777" w:rsidR="00722962" w:rsidRPr="00D7036A" w:rsidRDefault="00722962" w:rsidP="00722962">
            <w:pPr>
              <w:pStyle w:val="ListParagraph"/>
              <w:numPr>
                <w:ilvl w:val="2"/>
                <w:numId w:val="16"/>
              </w:numPr>
              <w:spacing w:after="20"/>
              <w:ind w:left="704" w:hanging="704"/>
              <w:cnfStyle w:val="000000000000" w:firstRow="0" w:lastRow="0" w:firstColumn="0" w:lastColumn="0" w:oddVBand="0" w:evenVBand="0" w:oddHBand="0" w:evenHBand="0" w:firstRowFirstColumn="0" w:firstRowLastColumn="0" w:lastRowFirstColumn="0" w:lastRowLastColumn="0"/>
              <w:rPr>
                <w:sz w:val="18"/>
                <w:szCs w:val="18"/>
              </w:rPr>
            </w:pPr>
            <w:r w:rsidRPr="00D7036A">
              <w:rPr>
                <w:color w:val="000000"/>
                <w:sz w:val="18"/>
                <w:szCs w:val="18"/>
              </w:rPr>
              <w:t xml:space="preserve">Collate and analyze administrative data from all states using DVD-MT (until Dec 2018) and DHIS2 platforms base on absolute numbers vaccinated to arrive as agreed estimated numbers per antigen per month </w:t>
            </w:r>
          </w:p>
          <w:p w14:paraId="29D29E04" w14:textId="77777777" w:rsidR="00722962" w:rsidRPr="00D7036A" w:rsidRDefault="00722962" w:rsidP="00722962">
            <w:pPr>
              <w:pStyle w:val="ListParagraph"/>
              <w:numPr>
                <w:ilvl w:val="2"/>
                <w:numId w:val="16"/>
              </w:numPr>
              <w:spacing w:after="20"/>
              <w:ind w:left="704" w:hanging="704"/>
              <w:cnfStyle w:val="000000000000" w:firstRow="0" w:lastRow="0" w:firstColumn="0" w:lastColumn="0" w:oddVBand="0" w:evenVBand="0" w:oddHBand="0" w:evenHBand="0" w:firstRowFirstColumn="0" w:firstRowLastColumn="0" w:lastRowFirstColumn="0" w:lastRowLastColumn="0"/>
              <w:rPr>
                <w:sz w:val="18"/>
                <w:szCs w:val="18"/>
              </w:rPr>
            </w:pPr>
            <w:r w:rsidRPr="00D7036A">
              <w:rPr>
                <w:color w:val="000000"/>
                <w:sz w:val="18"/>
                <w:szCs w:val="18"/>
              </w:rPr>
              <w:t xml:space="preserve">Hold zonal / state level engagement meetings for discussion and buy-in on the NUMERATOR emphasis </w:t>
            </w:r>
          </w:p>
          <w:p w14:paraId="1004BD33" w14:textId="5196CC11" w:rsidR="00722962" w:rsidRPr="00D7036A" w:rsidRDefault="00722962" w:rsidP="00722962">
            <w:pPr>
              <w:pStyle w:val="ListParagraph"/>
              <w:numPr>
                <w:ilvl w:val="2"/>
                <w:numId w:val="16"/>
              </w:numPr>
              <w:spacing w:after="20"/>
              <w:ind w:left="704" w:hanging="704"/>
              <w:cnfStyle w:val="000000000000" w:firstRow="0" w:lastRow="0" w:firstColumn="0" w:lastColumn="0" w:oddVBand="0" w:evenVBand="0" w:oddHBand="0" w:evenHBand="0" w:firstRowFirstColumn="0" w:firstRowLastColumn="0" w:lastRowFirstColumn="0" w:lastRowLastColumn="0"/>
              <w:rPr>
                <w:sz w:val="18"/>
                <w:szCs w:val="18"/>
              </w:rPr>
            </w:pPr>
            <w:r w:rsidRPr="00D7036A">
              <w:rPr>
                <w:color w:val="000000"/>
                <w:sz w:val="18"/>
                <w:szCs w:val="18"/>
              </w:rPr>
              <w:t>Institute bi-monthly state</w:t>
            </w:r>
            <w:r w:rsidR="00016E20">
              <w:rPr>
                <w:color w:val="000000"/>
                <w:sz w:val="18"/>
                <w:szCs w:val="18"/>
              </w:rPr>
              <w:t>-</w:t>
            </w:r>
            <w:r w:rsidRPr="00D7036A">
              <w:rPr>
                <w:color w:val="000000"/>
                <w:sz w:val="18"/>
                <w:szCs w:val="18"/>
              </w:rPr>
              <w:t xml:space="preserve">level DQS focusing on the Child Health Register (CHR) as the primary data source </w:t>
            </w:r>
          </w:p>
          <w:p w14:paraId="20DAF46B" w14:textId="77777777" w:rsidR="00722962" w:rsidRPr="00D7036A" w:rsidRDefault="00722962" w:rsidP="00722962">
            <w:pPr>
              <w:pStyle w:val="ListParagraph"/>
              <w:numPr>
                <w:ilvl w:val="2"/>
                <w:numId w:val="16"/>
              </w:numPr>
              <w:spacing w:after="20"/>
              <w:ind w:left="704" w:hanging="704"/>
              <w:cnfStyle w:val="000000000000" w:firstRow="0" w:lastRow="0" w:firstColumn="0" w:lastColumn="0" w:oddVBand="0" w:evenVBand="0" w:oddHBand="0" w:evenHBand="0" w:firstRowFirstColumn="0" w:firstRowLastColumn="0" w:lastRowFirstColumn="0" w:lastRowLastColumn="0"/>
              <w:rPr>
                <w:sz w:val="18"/>
                <w:szCs w:val="18"/>
              </w:rPr>
            </w:pPr>
            <w:r w:rsidRPr="00D7036A">
              <w:rPr>
                <w:color w:val="000000"/>
                <w:sz w:val="18"/>
                <w:szCs w:val="18"/>
              </w:rPr>
              <w:t xml:space="preserve">Establish Accountability mechanism with clear reward and sanction measures from national to health facility levels </w:t>
            </w:r>
          </w:p>
          <w:p w14:paraId="0ADF6AC4" w14:textId="77777777" w:rsidR="00722962" w:rsidRPr="00D7036A" w:rsidRDefault="00722962" w:rsidP="00722962">
            <w:pPr>
              <w:pStyle w:val="ListParagraph"/>
              <w:numPr>
                <w:ilvl w:val="2"/>
                <w:numId w:val="16"/>
              </w:numPr>
              <w:spacing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D7036A">
              <w:rPr>
                <w:color w:val="000000"/>
                <w:sz w:val="18"/>
                <w:szCs w:val="18"/>
              </w:rPr>
              <w:t>Triangulate immunization data with surveillance and logistics data</w:t>
            </w:r>
          </w:p>
        </w:tc>
      </w:tr>
      <w:tr w:rsidR="00722962" w:rsidRPr="001A2A42" w14:paraId="5DEDD78B" w14:textId="77777777" w:rsidTr="00722962">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761" w:type="pct"/>
            <w:vMerge/>
            <w:tcBorders>
              <w:left w:val="single" w:sz="4" w:space="0" w:color="auto"/>
              <w:right w:val="single" w:sz="4" w:space="0" w:color="auto"/>
            </w:tcBorders>
          </w:tcPr>
          <w:p w14:paraId="48FB668E" w14:textId="77777777" w:rsidR="00722962" w:rsidRPr="00B714A0" w:rsidRDefault="00722962" w:rsidP="00722962">
            <w:pPr>
              <w:numPr>
                <w:ilvl w:val="0"/>
                <w:numId w:val="12"/>
              </w:numPr>
              <w:spacing w:before="60" w:after="60" w:line="300" w:lineRule="exact"/>
              <w:rPr>
                <w:color w:val="DD0806"/>
                <w:sz w:val="18"/>
                <w:szCs w:val="18"/>
              </w:rPr>
            </w:pPr>
          </w:p>
        </w:tc>
        <w:tc>
          <w:tcPr>
            <w:tcW w:w="1210" w:type="pct"/>
            <w:vMerge w:val="restart"/>
            <w:tcBorders>
              <w:top w:val="single" w:sz="4" w:space="0" w:color="auto"/>
              <w:left w:val="single" w:sz="4" w:space="0" w:color="auto"/>
              <w:right w:val="single" w:sz="4" w:space="0" w:color="auto"/>
            </w:tcBorders>
          </w:tcPr>
          <w:p w14:paraId="6F9A3185" w14:textId="77777777" w:rsidR="00722962" w:rsidRPr="00D7036A" w:rsidRDefault="00722962" w:rsidP="00722962">
            <w:pPr>
              <w:pStyle w:val="ListParagraph"/>
              <w:numPr>
                <w:ilvl w:val="1"/>
                <w:numId w:val="15"/>
              </w:numPr>
              <w:spacing w:before="60" w:after="60" w:line="300" w:lineRule="exact"/>
              <w:cnfStyle w:val="000000100000" w:firstRow="0" w:lastRow="0" w:firstColumn="0" w:lastColumn="0" w:oddVBand="0" w:evenVBand="0" w:oddHBand="1" w:evenHBand="0" w:firstRowFirstColumn="0" w:firstRowLastColumn="0" w:lastRowFirstColumn="0" w:lastRowLastColumn="0"/>
              <w:rPr>
                <w:color w:val="000000"/>
                <w:sz w:val="18"/>
                <w:szCs w:val="18"/>
              </w:rPr>
            </w:pPr>
            <w:r w:rsidRPr="00D7036A">
              <w:rPr>
                <w:color w:val="000000"/>
                <w:sz w:val="18"/>
                <w:szCs w:val="18"/>
              </w:rPr>
              <w:t xml:space="preserve">To strengthen feedback mechanisms and follow up of identified interventions </w:t>
            </w:r>
          </w:p>
        </w:tc>
        <w:tc>
          <w:tcPr>
            <w:tcW w:w="3029" w:type="pct"/>
            <w:tcBorders>
              <w:top w:val="single" w:sz="4" w:space="0" w:color="auto"/>
              <w:left w:val="single" w:sz="4" w:space="0" w:color="auto"/>
              <w:bottom w:val="single" w:sz="4" w:space="0" w:color="auto"/>
              <w:right w:val="single" w:sz="4" w:space="0" w:color="auto"/>
            </w:tcBorders>
            <w:vAlign w:val="center"/>
          </w:tcPr>
          <w:p w14:paraId="096AB6A7" w14:textId="77777777" w:rsidR="00722962" w:rsidRPr="00D7036A" w:rsidRDefault="00722962" w:rsidP="00722962">
            <w:pPr>
              <w:pStyle w:val="ListParagraph"/>
              <w:numPr>
                <w:ilvl w:val="2"/>
                <w:numId w:val="15"/>
              </w:numPr>
              <w:spacing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D7036A">
              <w:rPr>
                <w:color w:val="000000"/>
                <w:sz w:val="18"/>
                <w:szCs w:val="18"/>
              </w:rPr>
              <w:t xml:space="preserve">Harmonized monthly meeting LIOs &amp; M&amp;E officers at the state / LGA levels </w:t>
            </w:r>
          </w:p>
        </w:tc>
      </w:tr>
      <w:tr w:rsidR="00722962" w:rsidRPr="001A2A42" w14:paraId="5B91ECF4" w14:textId="77777777" w:rsidTr="00722962">
        <w:trPr>
          <w:trHeight w:val="320"/>
        </w:trPr>
        <w:tc>
          <w:tcPr>
            <w:cnfStyle w:val="001000000000" w:firstRow="0" w:lastRow="0" w:firstColumn="1" w:lastColumn="0" w:oddVBand="0" w:evenVBand="0" w:oddHBand="0" w:evenHBand="0" w:firstRowFirstColumn="0" w:firstRowLastColumn="0" w:lastRowFirstColumn="0" w:lastRowLastColumn="0"/>
            <w:tcW w:w="761" w:type="pct"/>
            <w:vMerge/>
            <w:tcBorders>
              <w:left w:val="single" w:sz="4" w:space="0" w:color="auto"/>
              <w:right w:val="single" w:sz="4" w:space="0" w:color="auto"/>
            </w:tcBorders>
          </w:tcPr>
          <w:p w14:paraId="0872D627" w14:textId="77777777" w:rsidR="00722962" w:rsidRPr="00B714A0" w:rsidRDefault="00722962" w:rsidP="00722962">
            <w:pPr>
              <w:numPr>
                <w:ilvl w:val="0"/>
                <w:numId w:val="12"/>
              </w:numPr>
              <w:spacing w:before="60" w:after="60" w:line="300" w:lineRule="exact"/>
              <w:rPr>
                <w:color w:val="DD0806"/>
                <w:sz w:val="18"/>
                <w:szCs w:val="18"/>
              </w:rPr>
            </w:pPr>
          </w:p>
        </w:tc>
        <w:tc>
          <w:tcPr>
            <w:tcW w:w="1210" w:type="pct"/>
            <w:vMerge/>
            <w:tcBorders>
              <w:left w:val="single" w:sz="4" w:space="0" w:color="auto"/>
              <w:bottom w:val="single" w:sz="4" w:space="0" w:color="auto"/>
              <w:right w:val="single" w:sz="4" w:space="0" w:color="auto"/>
            </w:tcBorders>
          </w:tcPr>
          <w:p w14:paraId="388E43CD" w14:textId="77777777" w:rsidR="00722962" w:rsidRPr="00B714A0" w:rsidRDefault="00722962" w:rsidP="00722962">
            <w:pPr>
              <w:pStyle w:val="ListParagraph"/>
              <w:numPr>
                <w:ilvl w:val="1"/>
                <w:numId w:val="15"/>
              </w:numPr>
              <w:spacing w:before="60" w:after="60" w:line="300" w:lineRule="exac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3029" w:type="pct"/>
            <w:tcBorders>
              <w:top w:val="single" w:sz="4" w:space="0" w:color="auto"/>
              <w:left w:val="single" w:sz="4" w:space="0" w:color="auto"/>
              <w:bottom w:val="single" w:sz="4" w:space="0" w:color="auto"/>
              <w:right w:val="single" w:sz="4" w:space="0" w:color="auto"/>
            </w:tcBorders>
            <w:vAlign w:val="center"/>
          </w:tcPr>
          <w:p w14:paraId="44CBDAB3" w14:textId="77777777" w:rsidR="00722962" w:rsidRPr="00D7036A" w:rsidRDefault="00722962" w:rsidP="00722962">
            <w:pPr>
              <w:pStyle w:val="ListParagraph"/>
              <w:numPr>
                <w:ilvl w:val="2"/>
                <w:numId w:val="15"/>
              </w:numPr>
              <w:spacing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D7036A">
              <w:rPr>
                <w:color w:val="000000"/>
                <w:sz w:val="18"/>
                <w:szCs w:val="18"/>
              </w:rPr>
              <w:t xml:space="preserve">Support states/ LGAs for RI performance feedback reviews.  </w:t>
            </w:r>
          </w:p>
        </w:tc>
      </w:tr>
      <w:tr w:rsidR="00722962" w:rsidRPr="001A2A42" w14:paraId="0BF4BD51" w14:textId="77777777" w:rsidTr="0072296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761" w:type="pct"/>
            <w:vMerge/>
            <w:tcBorders>
              <w:left w:val="single" w:sz="4" w:space="0" w:color="auto"/>
              <w:right w:val="single" w:sz="4" w:space="0" w:color="auto"/>
            </w:tcBorders>
          </w:tcPr>
          <w:p w14:paraId="083C2403" w14:textId="77777777" w:rsidR="00722962" w:rsidRPr="00B714A0" w:rsidRDefault="00722962" w:rsidP="00722962">
            <w:pPr>
              <w:numPr>
                <w:ilvl w:val="0"/>
                <w:numId w:val="12"/>
              </w:numPr>
              <w:spacing w:before="60" w:after="60" w:line="300" w:lineRule="exact"/>
              <w:rPr>
                <w:color w:val="DD0806"/>
                <w:sz w:val="18"/>
                <w:szCs w:val="18"/>
              </w:rPr>
            </w:pPr>
          </w:p>
        </w:tc>
        <w:tc>
          <w:tcPr>
            <w:tcW w:w="1210" w:type="pct"/>
            <w:vMerge w:val="restart"/>
            <w:tcBorders>
              <w:top w:val="single" w:sz="4" w:space="0" w:color="auto"/>
              <w:left w:val="single" w:sz="4" w:space="0" w:color="auto"/>
              <w:right w:val="single" w:sz="4" w:space="0" w:color="auto"/>
            </w:tcBorders>
          </w:tcPr>
          <w:p w14:paraId="063E32A1" w14:textId="211F932D" w:rsidR="00722962" w:rsidRPr="00D7036A" w:rsidRDefault="00722962" w:rsidP="00722962">
            <w:pPr>
              <w:pStyle w:val="ListParagraph"/>
              <w:numPr>
                <w:ilvl w:val="1"/>
                <w:numId w:val="15"/>
              </w:numPr>
              <w:spacing w:before="60" w:after="60" w:line="300" w:lineRule="exact"/>
              <w:cnfStyle w:val="000000100000" w:firstRow="0" w:lastRow="0" w:firstColumn="0" w:lastColumn="0" w:oddVBand="0" w:evenVBand="0" w:oddHBand="1" w:evenHBand="0" w:firstRowFirstColumn="0" w:firstRowLastColumn="0" w:lastRowFirstColumn="0" w:lastRowLastColumn="0"/>
              <w:rPr>
                <w:color w:val="000000"/>
                <w:sz w:val="18"/>
                <w:szCs w:val="18"/>
              </w:rPr>
            </w:pPr>
            <w:r w:rsidRPr="00D7036A">
              <w:rPr>
                <w:rFonts w:cs="Lucida Grande"/>
                <w:color w:val="000000"/>
                <w:sz w:val="18"/>
                <w:szCs w:val="18"/>
              </w:rPr>
              <w:t>To develop and strengthen accountability frameworks, data reviews</w:t>
            </w:r>
            <w:r w:rsidR="00016E20">
              <w:rPr>
                <w:rFonts w:cs="Lucida Grande"/>
                <w:color w:val="000000"/>
                <w:sz w:val="18"/>
                <w:szCs w:val="18"/>
              </w:rPr>
              <w:t>,</w:t>
            </w:r>
            <w:r w:rsidRPr="00D7036A">
              <w:rPr>
                <w:rFonts w:cs="Lucida Grande"/>
                <w:color w:val="000000"/>
                <w:sz w:val="18"/>
                <w:szCs w:val="18"/>
              </w:rPr>
              <w:t xml:space="preserve"> and mechanisms for ensuring data use at all levels</w:t>
            </w:r>
          </w:p>
        </w:tc>
        <w:tc>
          <w:tcPr>
            <w:tcW w:w="3029" w:type="pct"/>
            <w:tcBorders>
              <w:top w:val="single" w:sz="4" w:space="0" w:color="auto"/>
              <w:left w:val="single" w:sz="4" w:space="0" w:color="auto"/>
              <w:bottom w:val="single" w:sz="4" w:space="0" w:color="auto"/>
              <w:right w:val="single" w:sz="4" w:space="0" w:color="auto"/>
            </w:tcBorders>
            <w:vAlign w:val="center"/>
          </w:tcPr>
          <w:p w14:paraId="1B28EC0F" w14:textId="77777777" w:rsidR="00722962" w:rsidRPr="00D7036A" w:rsidRDefault="00722962" w:rsidP="00722962">
            <w:pPr>
              <w:pStyle w:val="ListParagraph"/>
              <w:numPr>
                <w:ilvl w:val="2"/>
                <w:numId w:val="15"/>
              </w:numPr>
              <w:spacing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D7036A">
              <w:rPr>
                <w:color w:val="000000"/>
                <w:sz w:val="18"/>
                <w:szCs w:val="18"/>
              </w:rPr>
              <w:t xml:space="preserve">Develop and implement quarterly data reviews </w:t>
            </w:r>
          </w:p>
        </w:tc>
      </w:tr>
      <w:tr w:rsidR="00722962" w:rsidRPr="001A2A42" w14:paraId="5A3A0008" w14:textId="77777777" w:rsidTr="00722962">
        <w:trPr>
          <w:trHeight w:val="520"/>
        </w:trPr>
        <w:tc>
          <w:tcPr>
            <w:cnfStyle w:val="001000000000" w:firstRow="0" w:lastRow="0" w:firstColumn="1" w:lastColumn="0" w:oddVBand="0" w:evenVBand="0" w:oddHBand="0" w:evenHBand="0" w:firstRowFirstColumn="0" w:firstRowLastColumn="0" w:lastRowFirstColumn="0" w:lastRowLastColumn="0"/>
            <w:tcW w:w="761" w:type="pct"/>
            <w:vMerge/>
            <w:tcBorders>
              <w:left w:val="single" w:sz="4" w:space="0" w:color="auto"/>
              <w:bottom w:val="single" w:sz="4" w:space="0" w:color="auto"/>
              <w:right w:val="single" w:sz="4" w:space="0" w:color="auto"/>
            </w:tcBorders>
          </w:tcPr>
          <w:p w14:paraId="470F72F0" w14:textId="77777777" w:rsidR="00722962" w:rsidRPr="00B714A0" w:rsidRDefault="00722962" w:rsidP="00722962">
            <w:pPr>
              <w:numPr>
                <w:ilvl w:val="0"/>
                <w:numId w:val="12"/>
              </w:numPr>
              <w:spacing w:before="60" w:after="60" w:line="300" w:lineRule="exact"/>
              <w:rPr>
                <w:color w:val="DD0806"/>
                <w:sz w:val="18"/>
                <w:szCs w:val="18"/>
              </w:rPr>
            </w:pPr>
          </w:p>
        </w:tc>
        <w:tc>
          <w:tcPr>
            <w:tcW w:w="1210" w:type="pct"/>
            <w:vMerge/>
            <w:tcBorders>
              <w:left w:val="single" w:sz="4" w:space="0" w:color="auto"/>
              <w:bottom w:val="single" w:sz="4" w:space="0" w:color="auto"/>
              <w:right w:val="single" w:sz="4" w:space="0" w:color="auto"/>
            </w:tcBorders>
          </w:tcPr>
          <w:p w14:paraId="36B948F7" w14:textId="77777777" w:rsidR="00722962" w:rsidRPr="00B714A0" w:rsidRDefault="00722962" w:rsidP="00722962">
            <w:pPr>
              <w:pStyle w:val="ListParagraph"/>
              <w:numPr>
                <w:ilvl w:val="1"/>
                <w:numId w:val="15"/>
              </w:numPr>
              <w:spacing w:before="60" w:after="60" w:line="300" w:lineRule="exact"/>
              <w:cnfStyle w:val="000000000000" w:firstRow="0" w:lastRow="0" w:firstColumn="0" w:lastColumn="0" w:oddVBand="0" w:evenVBand="0" w:oddHBand="0" w:evenHBand="0" w:firstRowFirstColumn="0" w:firstRowLastColumn="0" w:lastRowFirstColumn="0" w:lastRowLastColumn="0"/>
              <w:rPr>
                <w:rFonts w:cs="Lucida Grande"/>
                <w:color w:val="000000"/>
                <w:sz w:val="18"/>
                <w:szCs w:val="18"/>
              </w:rPr>
            </w:pPr>
          </w:p>
        </w:tc>
        <w:tc>
          <w:tcPr>
            <w:tcW w:w="3029" w:type="pct"/>
            <w:tcBorders>
              <w:top w:val="single" w:sz="4" w:space="0" w:color="auto"/>
              <w:left w:val="single" w:sz="4" w:space="0" w:color="auto"/>
              <w:bottom w:val="single" w:sz="4" w:space="0" w:color="auto"/>
              <w:right w:val="single" w:sz="4" w:space="0" w:color="auto"/>
            </w:tcBorders>
            <w:vAlign w:val="center"/>
          </w:tcPr>
          <w:p w14:paraId="7D30F528" w14:textId="77777777" w:rsidR="00722962" w:rsidRPr="00D7036A" w:rsidRDefault="00722962" w:rsidP="00722962">
            <w:pPr>
              <w:pStyle w:val="ListParagraph"/>
              <w:numPr>
                <w:ilvl w:val="2"/>
                <w:numId w:val="15"/>
              </w:numPr>
              <w:spacing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D7036A">
              <w:rPr>
                <w:color w:val="000000"/>
                <w:sz w:val="18"/>
                <w:szCs w:val="18"/>
              </w:rPr>
              <w:t>Support states identify and implement key areas for strengthening data use for action</w:t>
            </w:r>
          </w:p>
        </w:tc>
      </w:tr>
      <w:tr w:rsidR="00722962" w:rsidRPr="001A2A42" w14:paraId="32E8289A" w14:textId="77777777" w:rsidTr="00722962">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761" w:type="pct"/>
            <w:vMerge w:val="restart"/>
            <w:tcBorders>
              <w:top w:val="single" w:sz="4" w:space="0" w:color="auto"/>
              <w:left w:val="single" w:sz="4" w:space="0" w:color="auto"/>
              <w:right w:val="single" w:sz="4" w:space="0" w:color="auto"/>
            </w:tcBorders>
          </w:tcPr>
          <w:p w14:paraId="7E202086" w14:textId="77777777" w:rsidR="00722962" w:rsidRPr="00D7036A" w:rsidRDefault="00722962" w:rsidP="00722962">
            <w:pPr>
              <w:numPr>
                <w:ilvl w:val="0"/>
                <w:numId w:val="12"/>
              </w:numPr>
              <w:spacing w:before="60" w:after="60" w:line="300" w:lineRule="exact"/>
              <w:rPr>
                <w:sz w:val="18"/>
                <w:szCs w:val="18"/>
              </w:rPr>
            </w:pPr>
          </w:p>
        </w:tc>
        <w:tc>
          <w:tcPr>
            <w:tcW w:w="1210" w:type="pct"/>
            <w:vMerge w:val="restart"/>
            <w:tcBorders>
              <w:top w:val="single" w:sz="4" w:space="0" w:color="auto"/>
              <w:left w:val="single" w:sz="4" w:space="0" w:color="auto"/>
              <w:right w:val="single" w:sz="4" w:space="0" w:color="auto"/>
            </w:tcBorders>
          </w:tcPr>
          <w:p w14:paraId="318CAAEB" w14:textId="54874EFA" w:rsidR="00722962" w:rsidRPr="00D34344" w:rsidRDefault="00722962" w:rsidP="00722962">
            <w:pPr>
              <w:pStyle w:val="ListParagraph"/>
              <w:numPr>
                <w:ilvl w:val="1"/>
                <w:numId w:val="15"/>
              </w:numPr>
              <w:spacing w:before="60" w:after="60" w:line="300" w:lineRule="exact"/>
              <w:cnfStyle w:val="000000100000" w:firstRow="0" w:lastRow="0" w:firstColumn="0" w:lastColumn="0" w:oddVBand="0" w:evenVBand="0" w:oddHBand="1" w:evenHBand="0" w:firstRowFirstColumn="0" w:firstRowLastColumn="0" w:lastRowFirstColumn="0" w:lastRowLastColumn="0"/>
              <w:rPr>
                <w:sz w:val="18"/>
                <w:szCs w:val="18"/>
              </w:rPr>
            </w:pPr>
            <w:r w:rsidRPr="00D7036A">
              <w:rPr>
                <w:color w:val="000000"/>
                <w:sz w:val="18"/>
                <w:szCs w:val="18"/>
              </w:rPr>
              <w:t>To strengthen home</w:t>
            </w:r>
            <w:r w:rsidR="00016E20">
              <w:rPr>
                <w:color w:val="000000"/>
                <w:sz w:val="18"/>
                <w:szCs w:val="18"/>
              </w:rPr>
              <w:t>-</w:t>
            </w:r>
            <w:r w:rsidRPr="00D7036A">
              <w:rPr>
                <w:color w:val="000000"/>
                <w:sz w:val="18"/>
                <w:szCs w:val="18"/>
              </w:rPr>
              <w:t>based records and improve card retention at community levels</w:t>
            </w:r>
          </w:p>
        </w:tc>
        <w:tc>
          <w:tcPr>
            <w:tcW w:w="3029" w:type="pct"/>
            <w:tcBorders>
              <w:top w:val="single" w:sz="4" w:space="0" w:color="auto"/>
              <w:left w:val="single" w:sz="4" w:space="0" w:color="auto"/>
              <w:bottom w:val="single" w:sz="4" w:space="0" w:color="auto"/>
              <w:right w:val="single" w:sz="4" w:space="0" w:color="auto"/>
            </w:tcBorders>
            <w:vAlign w:val="center"/>
          </w:tcPr>
          <w:p w14:paraId="7C85C51F" w14:textId="572DDE01" w:rsidR="00722962" w:rsidRPr="00D7036A" w:rsidRDefault="00722962" w:rsidP="00722962">
            <w:pPr>
              <w:pStyle w:val="ListParagraph"/>
              <w:numPr>
                <w:ilvl w:val="2"/>
                <w:numId w:val="15"/>
              </w:numPr>
              <w:spacing w:after="20"/>
              <w:cnfStyle w:val="000000100000" w:firstRow="0" w:lastRow="0" w:firstColumn="0" w:lastColumn="0" w:oddVBand="0" w:evenVBand="0" w:oddHBand="1" w:evenHBand="0" w:firstRowFirstColumn="0" w:firstRowLastColumn="0" w:lastRowFirstColumn="0" w:lastRowLastColumn="0"/>
              <w:rPr>
                <w:sz w:val="18"/>
                <w:szCs w:val="18"/>
              </w:rPr>
            </w:pPr>
            <w:r w:rsidRPr="00D7036A">
              <w:rPr>
                <w:color w:val="000000"/>
                <w:sz w:val="18"/>
                <w:szCs w:val="18"/>
              </w:rPr>
              <w:t>Revision</w:t>
            </w:r>
            <w:r w:rsidR="00016E20">
              <w:rPr>
                <w:color w:val="000000"/>
                <w:sz w:val="18"/>
                <w:szCs w:val="18"/>
              </w:rPr>
              <w:t>/</w:t>
            </w:r>
            <w:r w:rsidRPr="00D7036A">
              <w:rPr>
                <w:color w:val="000000"/>
                <w:sz w:val="18"/>
                <w:szCs w:val="18"/>
              </w:rPr>
              <w:t>pilot placement of the home</w:t>
            </w:r>
            <w:r w:rsidR="00016E20">
              <w:rPr>
                <w:color w:val="000000"/>
                <w:sz w:val="18"/>
                <w:szCs w:val="18"/>
              </w:rPr>
              <w:t>-</w:t>
            </w:r>
            <w:r w:rsidRPr="00D7036A">
              <w:rPr>
                <w:color w:val="000000"/>
                <w:sz w:val="18"/>
                <w:szCs w:val="18"/>
              </w:rPr>
              <w:t xml:space="preserve">based records in 6 states </w:t>
            </w:r>
          </w:p>
        </w:tc>
      </w:tr>
      <w:tr w:rsidR="00722962" w:rsidRPr="001A2A42" w14:paraId="0C8FA3FF" w14:textId="77777777" w:rsidTr="00722962">
        <w:trPr>
          <w:trHeight w:val="320"/>
        </w:trPr>
        <w:tc>
          <w:tcPr>
            <w:cnfStyle w:val="001000000000" w:firstRow="0" w:lastRow="0" w:firstColumn="1" w:lastColumn="0" w:oddVBand="0" w:evenVBand="0" w:oddHBand="0" w:evenHBand="0" w:firstRowFirstColumn="0" w:firstRowLastColumn="0" w:lastRowFirstColumn="0" w:lastRowLastColumn="0"/>
            <w:tcW w:w="761" w:type="pct"/>
            <w:vMerge/>
            <w:tcBorders>
              <w:left w:val="single" w:sz="4" w:space="0" w:color="auto"/>
              <w:bottom w:val="single" w:sz="4" w:space="0" w:color="auto"/>
              <w:right w:val="single" w:sz="4" w:space="0" w:color="auto"/>
            </w:tcBorders>
          </w:tcPr>
          <w:p w14:paraId="0F6A7CFB" w14:textId="77777777" w:rsidR="00722962" w:rsidRPr="00B714A0" w:rsidRDefault="00722962" w:rsidP="00722962">
            <w:pPr>
              <w:numPr>
                <w:ilvl w:val="0"/>
                <w:numId w:val="12"/>
              </w:numPr>
              <w:spacing w:before="60" w:after="60" w:line="300" w:lineRule="exact"/>
              <w:rPr>
                <w:sz w:val="18"/>
                <w:szCs w:val="18"/>
              </w:rPr>
            </w:pPr>
          </w:p>
        </w:tc>
        <w:tc>
          <w:tcPr>
            <w:tcW w:w="1210" w:type="pct"/>
            <w:vMerge/>
            <w:tcBorders>
              <w:left w:val="single" w:sz="4" w:space="0" w:color="auto"/>
              <w:bottom w:val="single" w:sz="4" w:space="0" w:color="auto"/>
              <w:right w:val="single" w:sz="4" w:space="0" w:color="auto"/>
            </w:tcBorders>
          </w:tcPr>
          <w:p w14:paraId="03496548" w14:textId="77777777" w:rsidR="00722962" w:rsidRPr="00B714A0" w:rsidRDefault="00722962" w:rsidP="00722962">
            <w:pPr>
              <w:pStyle w:val="ListParagraph"/>
              <w:numPr>
                <w:ilvl w:val="1"/>
                <w:numId w:val="15"/>
              </w:numPr>
              <w:spacing w:before="60" w:after="60" w:line="300" w:lineRule="exac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3029" w:type="pct"/>
            <w:tcBorders>
              <w:top w:val="single" w:sz="4" w:space="0" w:color="auto"/>
              <w:left w:val="single" w:sz="4" w:space="0" w:color="auto"/>
              <w:bottom w:val="single" w:sz="4" w:space="0" w:color="auto"/>
              <w:right w:val="single" w:sz="4" w:space="0" w:color="auto"/>
            </w:tcBorders>
            <w:vAlign w:val="center"/>
          </w:tcPr>
          <w:p w14:paraId="31BF2232" w14:textId="15AAC321" w:rsidR="00722962" w:rsidRPr="00D34344" w:rsidRDefault="00722962" w:rsidP="00722962">
            <w:pPr>
              <w:pStyle w:val="ListParagraph"/>
              <w:numPr>
                <w:ilvl w:val="2"/>
                <w:numId w:val="15"/>
              </w:numPr>
              <w:spacing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D7036A">
              <w:rPr>
                <w:color w:val="000000"/>
                <w:sz w:val="18"/>
                <w:szCs w:val="18"/>
              </w:rPr>
              <w:t>Printing, distribution</w:t>
            </w:r>
            <w:r w:rsidR="00016E20">
              <w:rPr>
                <w:color w:val="000000"/>
                <w:sz w:val="18"/>
                <w:szCs w:val="18"/>
              </w:rPr>
              <w:t>,</w:t>
            </w:r>
            <w:r w:rsidRPr="00D7036A">
              <w:rPr>
                <w:color w:val="000000"/>
                <w:sz w:val="18"/>
                <w:szCs w:val="18"/>
              </w:rPr>
              <w:t xml:space="preserve"> and placement of the HBRs in all the states</w:t>
            </w:r>
          </w:p>
        </w:tc>
      </w:tr>
    </w:tbl>
    <w:p w14:paraId="3675A1F0" w14:textId="04A84BE8" w:rsidR="00722962" w:rsidRDefault="00722962" w:rsidP="0009116E"/>
    <w:p w14:paraId="4774BD20" w14:textId="64885727" w:rsidR="00722962" w:rsidRDefault="00722962" w:rsidP="0009116E"/>
    <w:p w14:paraId="5D846DE6" w14:textId="3C78FEA0" w:rsidR="00722962" w:rsidRDefault="00722962" w:rsidP="0009116E"/>
    <w:p w14:paraId="08CD1373" w14:textId="3E6FD5A7" w:rsidR="00722962" w:rsidRDefault="00722962" w:rsidP="0009116E"/>
    <w:p w14:paraId="63644E51" w14:textId="33F2BD2E" w:rsidR="00722962" w:rsidRDefault="003865F4" w:rsidP="0009116E">
      <w:pPr>
        <w:rPr>
          <w:b/>
          <w:bCs/>
        </w:rPr>
      </w:pPr>
      <w:r w:rsidRPr="003865F4">
        <w:rPr>
          <w:b/>
          <w:bCs/>
        </w:rPr>
        <w:lastRenderedPageBreak/>
        <w:t xml:space="preserve">                                                                QUALITY OF EVIDENCE</w:t>
      </w:r>
    </w:p>
    <w:p w14:paraId="025055CC" w14:textId="5EF81C8B" w:rsidR="003865F4" w:rsidRDefault="003865F4" w:rsidP="0009116E">
      <w:pPr>
        <w:rPr>
          <w:b/>
          <w:bCs/>
        </w:rPr>
      </w:pPr>
      <w:bookmarkStart w:id="2" w:name="_GoBack"/>
      <w:bookmarkEnd w:id="2"/>
    </w:p>
    <w:p w14:paraId="452F3F89" w14:textId="77777777" w:rsidR="003865F4" w:rsidRPr="003865F4" w:rsidRDefault="003865F4" w:rsidP="003865F4">
      <w:pPr>
        <w:spacing w:after="0" w:line="360" w:lineRule="auto"/>
        <w:ind w:left="720"/>
        <w:jc w:val="both"/>
        <w:rPr>
          <w:rFonts w:cs="Font"/>
          <w:b/>
        </w:rPr>
      </w:pPr>
      <w:r w:rsidRPr="003865F4">
        <w:rPr>
          <w:rFonts w:cs="Font"/>
          <w:b/>
        </w:rPr>
        <w:t>Recognizing Routine Immunization Data Quality as a challenge in Nigeria:</w:t>
      </w:r>
    </w:p>
    <w:p w14:paraId="40A53254" w14:textId="530C78A4" w:rsidR="003865F4" w:rsidRPr="00B70E51" w:rsidRDefault="003865F4" w:rsidP="003865F4">
      <w:pPr>
        <w:spacing w:line="276" w:lineRule="auto"/>
        <w:jc w:val="both"/>
      </w:pPr>
      <w:r w:rsidRPr="00B70E51">
        <w:t xml:space="preserve">The quality of data arising from the routine immunization system (administrative/admin data) has been a long-standing concern of the government and partners. The immunization coverage estimate comprises of a numerator (number of children vaccinated) and a denominator (target population of children eligible for vaccination). Errors in coverage rates could arise from a numerator error (willful manipulation of figures or un-intended errors); or from a denominator error (faulty estimation of </w:t>
      </w:r>
      <w:r w:rsidR="00016E20">
        <w:t xml:space="preserve">the </w:t>
      </w:r>
      <w:r w:rsidRPr="00B70E51">
        <w:t xml:space="preserve">target population). In Nigeria, it is not clear where the weight of the problem lies. </w:t>
      </w:r>
    </w:p>
    <w:p w14:paraId="1C8885E7" w14:textId="77777777" w:rsidR="003865F4" w:rsidRPr="00B70E51" w:rsidRDefault="003865F4" w:rsidP="003865F4">
      <w:pPr>
        <w:spacing w:line="276" w:lineRule="auto"/>
        <w:jc w:val="both"/>
        <w:rPr>
          <w:sz w:val="12"/>
          <w:szCs w:val="12"/>
        </w:rPr>
      </w:pPr>
    </w:p>
    <w:p w14:paraId="3C85AA09" w14:textId="7039915C" w:rsidR="003865F4" w:rsidRPr="00B70E51" w:rsidRDefault="003865F4" w:rsidP="003865F4">
      <w:pPr>
        <w:spacing w:line="276" w:lineRule="auto"/>
        <w:jc w:val="both"/>
      </w:pPr>
      <w:r w:rsidRPr="00B70E51">
        <w:t xml:space="preserve">It is common to see admin vaccine coverage rates of 100% or more reported by states or LGAs and observe a wide gap between admin and survey coverage. Household surveys like the Demographic and Health Surveys, or the SMART surveys are regarded as the gold standard for immunization coverage estimates, so large admin/survey gaps are a sign of </w:t>
      </w:r>
      <w:proofErr w:type="gramStart"/>
      <w:r w:rsidRPr="00B70E51">
        <w:t>poor quality</w:t>
      </w:r>
      <w:proofErr w:type="gramEnd"/>
      <w:r w:rsidRPr="00B70E51">
        <w:t xml:space="preserve"> data. </w:t>
      </w:r>
    </w:p>
    <w:p w14:paraId="6ED9012B" w14:textId="77777777" w:rsidR="003865F4" w:rsidRPr="00B70E51" w:rsidRDefault="003865F4" w:rsidP="003865F4">
      <w:pPr>
        <w:spacing w:line="276" w:lineRule="auto"/>
        <w:jc w:val="both"/>
        <w:rPr>
          <w:sz w:val="12"/>
          <w:szCs w:val="12"/>
        </w:rPr>
      </w:pPr>
    </w:p>
    <w:p w14:paraId="160ED006" w14:textId="13EEE51C" w:rsidR="003865F4" w:rsidRDefault="003865F4" w:rsidP="003865F4">
      <w:pPr>
        <w:spacing w:line="276" w:lineRule="auto"/>
        <w:jc w:val="both"/>
        <w:rPr>
          <w:rFonts w:cs="Times New Roman"/>
        </w:rPr>
      </w:pPr>
      <w:r w:rsidRPr="0057302A">
        <w:rPr>
          <w:bCs/>
          <w:lang w:val="en-GB"/>
        </w:rPr>
        <w:t>Available data suggests there ha</w:t>
      </w:r>
      <w:r w:rsidR="00016E20">
        <w:rPr>
          <w:bCs/>
          <w:lang w:val="en-GB"/>
        </w:rPr>
        <w:t>s</w:t>
      </w:r>
      <w:r w:rsidRPr="0057302A">
        <w:rPr>
          <w:bCs/>
          <w:lang w:val="en-GB"/>
        </w:rPr>
        <w:t xml:space="preserve"> always </w:t>
      </w:r>
      <w:r w:rsidRPr="0057302A">
        <w:rPr>
          <w:rFonts w:cs="Arial"/>
        </w:rPr>
        <w:t>been a wide disparity between administrative immunization coverage data, UNICEF-WHO estimates</w:t>
      </w:r>
      <w:r w:rsidR="00016E20">
        <w:rPr>
          <w:rFonts w:cs="Arial"/>
        </w:rPr>
        <w:t>,</w:t>
      </w:r>
      <w:r w:rsidRPr="0057302A">
        <w:rPr>
          <w:rFonts w:cs="Arial"/>
        </w:rPr>
        <w:t xml:space="preserve"> and survey data</w:t>
      </w:r>
      <w:r>
        <w:rPr>
          <w:rFonts w:cs="Arial"/>
        </w:rPr>
        <w:t xml:space="preserve">. </w:t>
      </w:r>
      <w:r w:rsidRPr="0057302A">
        <w:t xml:space="preserve">While the national routine immunization (DPT3) administrative coverage increased from less than 50% about a decade ago to over 90% in </w:t>
      </w:r>
      <w:r w:rsidRPr="00AA406A">
        <w:t>the last 3 years</w:t>
      </w:r>
      <w:r w:rsidRPr="000E463D">
        <w:rPr>
          <w:rStyle w:val="FootnoteReference"/>
        </w:rPr>
        <w:footnoteReference w:id="1"/>
      </w:r>
      <w:r w:rsidRPr="000E463D">
        <w:t xml:space="preserve">, coverage estimates from survey data remain low. Comparing administrative, official and WUENIC Penta-3 </w:t>
      </w:r>
      <w:r>
        <w:t>c</w:t>
      </w:r>
      <w:r w:rsidRPr="000E463D">
        <w:t xml:space="preserve">overage from 2013 – 2015 also reveals these marked </w:t>
      </w:r>
      <w:r w:rsidRPr="00186896">
        <w:t>disparities (</w:t>
      </w:r>
      <w:proofErr w:type="gramStart"/>
      <w:r w:rsidRPr="00186896">
        <w:t>figure )</w:t>
      </w:r>
      <w:proofErr w:type="gramEnd"/>
      <w:r w:rsidRPr="00186896">
        <w:t xml:space="preserve">. </w:t>
      </w:r>
      <w:r w:rsidRPr="003D5D3A">
        <w:rPr>
          <w:rFonts w:cs="Arial"/>
        </w:rPr>
        <w:t xml:space="preserve">The </w:t>
      </w:r>
      <w:r w:rsidRPr="00E1347D">
        <w:rPr>
          <w:rFonts w:cs="Times New Roman"/>
        </w:rPr>
        <w:t>continued outbreaks of measles despite high admini</w:t>
      </w:r>
      <w:r w:rsidRPr="00D614ED">
        <w:rPr>
          <w:rFonts w:cs="Times New Roman"/>
        </w:rPr>
        <w:t>strative coverage of above 100%</w:t>
      </w:r>
      <w:r w:rsidRPr="000E463D">
        <w:rPr>
          <w:rStyle w:val="FootnoteReference"/>
          <w:rFonts w:cs="Times New Roman"/>
        </w:rPr>
        <w:footnoteReference w:id="2"/>
      </w:r>
      <w:r w:rsidRPr="000E463D">
        <w:rPr>
          <w:rFonts w:cs="Times New Roman"/>
        </w:rPr>
        <w:t xml:space="preserve"> are pointers to gaps in data quality.</w:t>
      </w:r>
    </w:p>
    <w:p w14:paraId="003E3A2C" w14:textId="77777777" w:rsidR="003865F4" w:rsidRDefault="003865F4" w:rsidP="003865F4">
      <w:pPr>
        <w:keepNext/>
        <w:spacing w:line="276" w:lineRule="auto"/>
        <w:jc w:val="both"/>
      </w:pPr>
      <w:r w:rsidRPr="000E463D">
        <w:rPr>
          <w:noProof/>
          <w:lang w:val="en-GB" w:eastAsia="en-GB"/>
        </w:rPr>
        <w:drawing>
          <wp:inline distT="0" distB="0" distL="0" distR="0" wp14:anchorId="4376DA45" wp14:editId="41A06767">
            <wp:extent cx="5486400" cy="17272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6BEB7E" w14:textId="10C8D8BC" w:rsidR="003865F4" w:rsidRDefault="003865F4" w:rsidP="003865F4">
      <w:pPr>
        <w:pStyle w:val="Caption"/>
        <w:jc w:val="both"/>
        <w:rPr>
          <w:i w:val="0"/>
          <w:sz w:val="20"/>
          <w:szCs w:val="20"/>
        </w:rPr>
      </w:pPr>
      <w:r>
        <w:rPr>
          <w:i w:val="0"/>
          <w:color w:val="auto"/>
          <w:sz w:val="20"/>
          <w:szCs w:val="20"/>
        </w:rPr>
        <w:t xml:space="preserve">      </w:t>
      </w:r>
      <w:r w:rsidRPr="009A68C7">
        <w:rPr>
          <w:i w:val="0"/>
          <w:color w:val="auto"/>
          <w:sz w:val="20"/>
          <w:szCs w:val="20"/>
        </w:rPr>
        <w:t>Comparison between admin, W</w:t>
      </w:r>
      <w:r w:rsidRPr="009A68C7">
        <w:rPr>
          <w:i w:val="0"/>
          <w:sz w:val="20"/>
          <w:szCs w:val="20"/>
        </w:rPr>
        <w:t>UENIC and corrected admin data for Penta3 (2013 – 2015)</w:t>
      </w:r>
    </w:p>
    <w:p w14:paraId="042F70A7" w14:textId="1BA2EFDB" w:rsidR="003865F4" w:rsidRDefault="003865F4" w:rsidP="003865F4"/>
    <w:p w14:paraId="18300CD4" w14:textId="5FA0B8C6" w:rsidR="003865F4" w:rsidRDefault="003865F4" w:rsidP="003865F4">
      <w:pPr>
        <w:spacing w:line="276" w:lineRule="auto"/>
        <w:jc w:val="both"/>
      </w:pPr>
      <w:r w:rsidRPr="00240707">
        <w:t xml:space="preserve">In 2014 for instance, the 2014 national administrative coverage of Penta3 was reported as 96%, while the 2015 SMART survey estimated Penta-3 as 49%. The SMART survey looked at the same cohort of children born in 2014, which was reported on DHIS as 56% </w:t>
      </w:r>
      <w:proofErr w:type="gramStart"/>
      <w:r w:rsidRPr="00240707">
        <w:t>( figure</w:t>
      </w:r>
      <w:proofErr w:type="gramEnd"/>
      <w:r w:rsidRPr="00240707">
        <w:t xml:space="preserve"> ).</w:t>
      </w:r>
    </w:p>
    <w:p w14:paraId="33DD6AE2" w14:textId="505A299B" w:rsidR="003865F4" w:rsidRDefault="003865F4" w:rsidP="003865F4">
      <w:pPr>
        <w:spacing w:line="276" w:lineRule="auto"/>
        <w:jc w:val="both"/>
      </w:pPr>
    </w:p>
    <w:p w14:paraId="5939C1DD" w14:textId="77777777" w:rsidR="003865F4" w:rsidRDefault="003865F4" w:rsidP="003865F4">
      <w:pPr>
        <w:keepNext/>
        <w:spacing w:line="276" w:lineRule="auto"/>
        <w:jc w:val="both"/>
      </w:pPr>
      <w:r w:rsidRPr="000E463D">
        <w:rPr>
          <w:noProof/>
          <w:lang w:val="en-GB" w:eastAsia="en-GB"/>
        </w:rPr>
        <w:drawing>
          <wp:inline distT="0" distB="0" distL="0" distR="0" wp14:anchorId="7510FAAB" wp14:editId="276D6BE2">
            <wp:extent cx="5486400" cy="1313180"/>
            <wp:effectExtent l="0" t="0" r="25400" b="330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FB006B" w14:textId="1B58229D" w:rsidR="003865F4" w:rsidRPr="00240707" w:rsidRDefault="003865F4" w:rsidP="003865F4">
      <w:pPr>
        <w:pStyle w:val="Caption"/>
        <w:jc w:val="both"/>
        <w:rPr>
          <w:sz w:val="22"/>
          <w:szCs w:val="22"/>
        </w:rPr>
      </w:pPr>
      <w:r>
        <w:rPr>
          <w:sz w:val="20"/>
          <w:szCs w:val="20"/>
        </w:rPr>
        <w:t xml:space="preserve">        </w:t>
      </w:r>
      <w:r w:rsidRPr="003865F4">
        <w:rPr>
          <w:color w:val="auto"/>
          <w:sz w:val="20"/>
          <w:szCs w:val="20"/>
        </w:rPr>
        <w:t>Comparison between admin (DVD-MT), DHIS and SMART Survey Data (2014 Birth Cohort)</w:t>
      </w:r>
    </w:p>
    <w:p w14:paraId="54D8643F" w14:textId="1F348F7E" w:rsidR="003865F4" w:rsidRDefault="003865F4" w:rsidP="003865F4"/>
    <w:p w14:paraId="1FC9E4ED" w14:textId="4ED81ED0" w:rsidR="003865F4" w:rsidRPr="00B70E51" w:rsidRDefault="003D4D18" w:rsidP="003865F4">
      <w:pPr>
        <w:pStyle w:val="BodyText"/>
        <w:tabs>
          <w:tab w:val="left" w:pos="709"/>
        </w:tabs>
        <w:spacing w:line="276" w:lineRule="auto"/>
        <w:ind w:firstLine="0"/>
      </w:pPr>
      <w:r>
        <w:rPr>
          <w:noProof/>
        </w:rPr>
        <mc:AlternateContent>
          <mc:Choice Requires="wps">
            <w:drawing>
              <wp:anchor distT="0" distB="0" distL="114300" distR="114300" simplePos="0" relativeHeight="251664384" behindDoc="0" locked="0" layoutInCell="1" allowOverlap="1" wp14:anchorId="22DFD383" wp14:editId="022ACAD0">
                <wp:simplePos x="0" y="0"/>
                <wp:positionH relativeFrom="column">
                  <wp:posOffset>180975</wp:posOffset>
                </wp:positionH>
                <wp:positionV relativeFrom="paragraph">
                  <wp:posOffset>3115310</wp:posOffset>
                </wp:positionV>
                <wp:extent cx="546735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467350" cy="635"/>
                        </a:xfrm>
                        <a:prstGeom prst="rect">
                          <a:avLst/>
                        </a:prstGeom>
                        <a:solidFill>
                          <a:prstClr val="white"/>
                        </a:solidFill>
                        <a:ln>
                          <a:noFill/>
                        </a:ln>
                      </wps:spPr>
                      <wps:txbx>
                        <w:txbxContent>
                          <w:p w14:paraId="2ADE0151" w14:textId="3AAFBB6A" w:rsidR="00433F6F" w:rsidRPr="003D4D18" w:rsidRDefault="00433F6F" w:rsidP="003D4D18">
                            <w:pPr>
                              <w:pStyle w:val="Caption"/>
                              <w:ind w:left="1440"/>
                              <w:rPr>
                                <w:noProof/>
                                <w:color w:val="auto"/>
                                <w:lang w:val="en-GB" w:eastAsia="en-GB"/>
                              </w:rPr>
                            </w:pPr>
                            <w:r w:rsidRPr="003D4D18">
                              <w:rPr>
                                <w:b/>
                                <w:color w:val="auto"/>
                              </w:rPr>
                              <w:t>Comparisons on different data sources (Admin vs survey) in Nigeria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2DFD383" id="Text Box 4" o:spid="_x0000_s1027" type="#_x0000_t202" style="position:absolute;left:0;text-align:left;margin-left:14.25pt;margin-top:245.3pt;width:430.5pt;height:.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" stroked="f">
                <v:textbox style="mso-fit-shape-to-text:t" inset="0,0,0,0">
                  <w:txbxContent>
                    <w:p w14:paraId="2ADE0151" w14:textId="3AAFBB6A" w:rsidR="00433F6F" w:rsidRPr="003D4D18" w:rsidRDefault="00433F6F" w:rsidP="003D4D18">
                      <w:pPr>
                        <w:pStyle w:val="Caption"/>
                        <w:ind w:left="1440"/>
                        <w:rPr>
                          <w:noProof/>
                          <w:color w:val="auto"/>
                          <w:lang w:val="en-GB" w:eastAsia="en-GB"/>
                        </w:rPr>
                      </w:pPr>
                      <w:r w:rsidRPr="003D4D18">
                        <w:rPr>
                          <w:b/>
                          <w:color w:val="auto"/>
                        </w:rPr>
                        <w:t>Comparisons on different data sources (Admin vs survey) in Nigeria</w:t>
                      </w:r>
                    </w:p>
                  </w:txbxContent>
                </v:textbox>
                <w10:wrap type="square"/>
              </v:shape>
            </w:pict>
          </mc:Fallback>
        </mc:AlternateContent>
      </w:r>
      <w:r w:rsidRPr="00B714A0">
        <w:rPr>
          <w:noProof/>
          <w:lang w:val="en-GB" w:eastAsia="en-GB"/>
        </w:rPr>
        <w:drawing>
          <wp:anchor distT="0" distB="0" distL="114300" distR="114300" simplePos="0" relativeHeight="251662336" behindDoc="0" locked="0" layoutInCell="1" allowOverlap="1" wp14:anchorId="77569754" wp14:editId="45075BBB">
            <wp:simplePos x="0" y="0"/>
            <wp:positionH relativeFrom="column">
              <wp:posOffset>2901950</wp:posOffset>
            </wp:positionH>
            <wp:positionV relativeFrom="paragraph">
              <wp:posOffset>997585</wp:posOffset>
            </wp:positionV>
            <wp:extent cx="2743200" cy="2056765"/>
            <wp:effectExtent l="19050" t="19050" r="19050" b="196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0" cy="2056765"/>
                    </a:xfrm>
                    <a:prstGeom prst="rect">
                      <a:avLst/>
                    </a:prstGeom>
                    <a:ln>
                      <a:solidFill>
                        <a:schemeClr val="tx1"/>
                      </a:solidFill>
                    </a:ln>
                  </pic:spPr>
                </pic:pic>
              </a:graphicData>
            </a:graphic>
          </wp:anchor>
        </w:drawing>
      </w:r>
      <w:r w:rsidR="003865F4" w:rsidRPr="00B70E51">
        <w:t xml:space="preserve">This gap is magnified at the sub-national data level and varies from 21 to 134% (comparing the most recent data pair of 2014 admin and 2015 SMART). Northern states and states with lower survey coverage have larger admin/survey gaps, suggesting a systematic bias (see </w:t>
      </w:r>
      <w:proofErr w:type="gramStart"/>
      <w:r w:rsidR="003865F4" w:rsidRPr="00B70E51">
        <w:t>figure )</w:t>
      </w:r>
      <w:proofErr w:type="gramEnd"/>
      <w:r w:rsidR="003865F4" w:rsidRPr="00B70E51">
        <w:t>. In addition, denominator issues are more severe in the North than the South.</w:t>
      </w:r>
    </w:p>
    <w:p w14:paraId="3E719FED" w14:textId="542301E1" w:rsidR="003865F4" w:rsidRDefault="003D4D18" w:rsidP="003865F4">
      <w:pPr>
        <w:rPr>
          <w:rFonts w:cs="Arial"/>
        </w:rPr>
      </w:pPr>
      <w:r w:rsidRPr="00240707">
        <w:t>From the different platforms, there are also observed disparities in the coverage across the zones and within states from one LGA to the other, as seen on the NDHS 2003-2013 reports (see f</w:t>
      </w:r>
      <w:r>
        <w:t>igure</w:t>
      </w:r>
      <w:r w:rsidRPr="001847CC">
        <w:t>). Northern states have lower coverage rates than the southern states from survey results. Immunization coverage is also higher in urban areas compared to rural areas.</w:t>
      </w:r>
      <w:r w:rsidRPr="001B6A35">
        <w:t xml:space="preserve"> </w:t>
      </w:r>
      <w:r w:rsidRPr="00DF3854">
        <w:t xml:space="preserve">There is also an observed disparity between </w:t>
      </w:r>
      <w:r w:rsidRPr="00DF3854">
        <w:rPr>
          <w:rFonts w:cs="Arial"/>
        </w:rPr>
        <w:t xml:space="preserve">the </w:t>
      </w:r>
      <w:r w:rsidRPr="009514A0">
        <w:rPr>
          <w:rFonts w:cs="Arial"/>
        </w:rPr>
        <w:t>DPT3</w:t>
      </w:r>
      <w:r w:rsidRPr="00463F72">
        <w:rPr>
          <w:rFonts w:cs="Arial"/>
        </w:rPr>
        <w:t xml:space="preserve"> and measles immunization coverage across the country</w:t>
      </w:r>
      <w:r w:rsidRPr="00D862DC">
        <w:rPr>
          <w:b/>
          <w:noProof/>
          <w:lang w:val="en-GB" w:eastAsia="en-GB"/>
        </w:rPr>
        <w:drawing>
          <wp:anchor distT="0" distB="0" distL="114300" distR="114300" simplePos="0" relativeHeight="251661312" behindDoc="0" locked="0" layoutInCell="1" allowOverlap="1" wp14:anchorId="5865431E" wp14:editId="6E7C1089">
            <wp:simplePos x="0" y="0"/>
            <wp:positionH relativeFrom="column">
              <wp:posOffset>34925</wp:posOffset>
            </wp:positionH>
            <wp:positionV relativeFrom="paragraph">
              <wp:posOffset>136525</wp:posOffset>
            </wp:positionV>
            <wp:extent cx="2750129" cy="2062598"/>
            <wp:effectExtent l="19050" t="19050" r="12700" b="139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50129" cy="2062598"/>
                    </a:xfrm>
                    <a:prstGeom prst="rect">
                      <a:avLst/>
                    </a:prstGeom>
                    <a:ln>
                      <a:solidFill>
                        <a:schemeClr val="tx1"/>
                      </a:solidFill>
                    </a:ln>
                  </pic:spPr>
                </pic:pic>
              </a:graphicData>
            </a:graphic>
          </wp:anchor>
        </w:drawing>
      </w:r>
      <w:r>
        <w:rPr>
          <w:rFonts w:cs="Arial"/>
        </w:rPr>
        <w:t>.</w:t>
      </w:r>
    </w:p>
    <w:p w14:paraId="4902CBC5" w14:textId="0B501485" w:rsidR="003C2A0A" w:rsidRDefault="003C2A0A" w:rsidP="003865F4">
      <w:pPr>
        <w:rPr>
          <w:rFonts w:cs="Arial"/>
        </w:rPr>
      </w:pPr>
    </w:p>
    <w:p w14:paraId="1A2FDE87" w14:textId="39789AF7" w:rsidR="003C2A0A" w:rsidRDefault="003C2A0A" w:rsidP="003865F4">
      <w:pPr>
        <w:rPr>
          <w:rFonts w:cs="Arial"/>
        </w:rPr>
      </w:pPr>
    </w:p>
    <w:p w14:paraId="62DDB8DD" w14:textId="72BDFCAC" w:rsidR="003C2A0A" w:rsidRDefault="003C2A0A" w:rsidP="003865F4">
      <w:r>
        <w:lastRenderedPageBreak/>
        <w:t xml:space="preserve">                                                                                </w:t>
      </w:r>
      <w:r w:rsidRPr="003C2A0A">
        <w:rPr>
          <w:b/>
          <w:bCs/>
        </w:rPr>
        <w:t>ALIGNMENT</w:t>
      </w:r>
    </w:p>
    <w:p w14:paraId="7D93396F" w14:textId="140F4758" w:rsidR="003C2A0A" w:rsidRPr="003C2A0A" w:rsidRDefault="003C2A0A" w:rsidP="003C2A0A"/>
    <w:p w14:paraId="2930C3BA" w14:textId="4ED1785B" w:rsidR="003C2A0A" w:rsidRDefault="003C2A0A" w:rsidP="003C2A0A"/>
    <w:p w14:paraId="55032754" w14:textId="35C4544B" w:rsidR="003C2A0A" w:rsidRDefault="003C2A0A" w:rsidP="003C2A0A"/>
    <w:p w14:paraId="47E292EB" w14:textId="77777777" w:rsidR="00983241" w:rsidRPr="003C2A0A" w:rsidRDefault="00983241" w:rsidP="003C2A0A"/>
    <w:sectPr w:rsidR="00983241" w:rsidRPr="003C2A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0CAA4" w14:textId="77777777" w:rsidR="00FC56C1" w:rsidRDefault="00FC56C1" w:rsidP="003865F4">
      <w:pPr>
        <w:spacing w:after="0" w:line="240" w:lineRule="auto"/>
      </w:pPr>
      <w:r>
        <w:separator/>
      </w:r>
    </w:p>
  </w:endnote>
  <w:endnote w:type="continuationSeparator" w:id="0">
    <w:p w14:paraId="3D5F4069" w14:textId="77777777" w:rsidR="00FC56C1" w:rsidRDefault="00FC56C1" w:rsidP="0038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Font">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C6FCE" w14:textId="77777777" w:rsidR="00FC56C1" w:rsidRDefault="00FC56C1" w:rsidP="003865F4">
      <w:pPr>
        <w:spacing w:after="0" w:line="240" w:lineRule="auto"/>
      </w:pPr>
      <w:r>
        <w:separator/>
      </w:r>
    </w:p>
  </w:footnote>
  <w:footnote w:type="continuationSeparator" w:id="0">
    <w:p w14:paraId="0C90626C" w14:textId="77777777" w:rsidR="00FC56C1" w:rsidRDefault="00FC56C1" w:rsidP="003865F4">
      <w:pPr>
        <w:spacing w:after="0" w:line="240" w:lineRule="auto"/>
      </w:pPr>
      <w:r>
        <w:continuationSeparator/>
      </w:r>
    </w:p>
  </w:footnote>
  <w:footnote w:id="1">
    <w:p w14:paraId="514F4454" w14:textId="77777777" w:rsidR="00433F6F" w:rsidRPr="008B3D66" w:rsidRDefault="00433F6F" w:rsidP="003865F4">
      <w:pPr>
        <w:pStyle w:val="FootnoteText"/>
        <w:rPr>
          <w:sz w:val="16"/>
          <w:szCs w:val="16"/>
        </w:rPr>
      </w:pPr>
      <w:r w:rsidRPr="008B3D66">
        <w:rPr>
          <w:rStyle w:val="FootnoteReference"/>
          <w:sz w:val="16"/>
          <w:szCs w:val="16"/>
        </w:rPr>
        <w:footnoteRef/>
      </w:r>
      <w:r w:rsidRPr="008B3D66">
        <w:rPr>
          <w:sz w:val="16"/>
          <w:szCs w:val="16"/>
        </w:rPr>
        <w:t xml:space="preserve"> Nigeria RI &amp; Logistics Monthly Feedbacks 2009 - 2015</w:t>
      </w:r>
    </w:p>
  </w:footnote>
  <w:footnote w:id="2">
    <w:p w14:paraId="68FD35A9" w14:textId="53A767A1" w:rsidR="00433F6F" w:rsidRDefault="00433F6F" w:rsidP="003865F4">
      <w:pPr>
        <w:pStyle w:val="FootnoteText"/>
        <w:rPr>
          <w:sz w:val="16"/>
          <w:szCs w:val="16"/>
        </w:rPr>
      </w:pPr>
      <w:r>
        <w:rPr>
          <w:rStyle w:val="FootnoteReference"/>
        </w:rPr>
        <w:footnoteRef/>
      </w:r>
      <w:r w:rsidRPr="00007EE9">
        <w:rPr>
          <w:sz w:val="16"/>
          <w:szCs w:val="16"/>
        </w:rPr>
        <w:t>Nigeria RI and Logistics Monthly Feedback, Oct 2016</w:t>
      </w:r>
    </w:p>
    <w:p w14:paraId="583F7F54" w14:textId="17048C50" w:rsidR="00433F6F" w:rsidRDefault="00433F6F" w:rsidP="003865F4">
      <w:pPr>
        <w:pStyle w:val="FootnoteText"/>
        <w:rPr>
          <w:sz w:val="16"/>
          <w:szCs w:val="16"/>
        </w:rPr>
      </w:pPr>
    </w:p>
    <w:p w14:paraId="2487A7E4" w14:textId="03408C9B" w:rsidR="00433F6F" w:rsidRDefault="00433F6F" w:rsidP="003865F4">
      <w:pPr>
        <w:pStyle w:val="FootnoteText"/>
        <w:rPr>
          <w:sz w:val="16"/>
          <w:szCs w:val="16"/>
        </w:rPr>
      </w:pPr>
    </w:p>
    <w:p w14:paraId="5E5EC151" w14:textId="742B244E" w:rsidR="00433F6F" w:rsidRDefault="00433F6F" w:rsidP="003865F4">
      <w:pPr>
        <w:pStyle w:val="FootnoteText"/>
        <w:rPr>
          <w:sz w:val="16"/>
          <w:szCs w:val="16"/>
        </w:rPr>
      </w:pPr>
    </w:p>
    <w:p w14:paraId="361CBA0D" w14:textId="071A45FD" w:rsidR="00433F6F" w:rsidRDefault="00433F6F" w:rsidP="003865F4">
      <w:pPr>
        <w:pStyle w:val="FootnoteText"/>
        <w:rPr>
          <w:sz w:val="16"/>
          <w:szCs w:val="16"/>
        </w:rPr>
      </w:pPr>
    </w:p>
    <w:p w14:paraId="15FBB668" w14:textId="74916FCC" w:rsidR="00433F6F" w:rsidRDefault="00433F6F" w:rsidP="003865F4">
      <w:pPr>
        <w:pStyle w:val="FootnoteText"/>
        <w:rPr>
          <w:sz w:val="16"/>
          <w:szCs w:val="16"/>
        </w:rPr>
      </w:pPr>
    </w:p>
    <w:p w14:paraId="0A7AD1E9" w14:textId="24D3813B" w:rsidR="00433F6F" w:rsidRDefault="00433F6F" w:rsidP="003865F4">
      <w:pPr>
        <w:pStyle w:val="FootnoteText"/>
        <w:rPr>
          <w:sz w:val="16"/>
          <w:szCs w:val="16"/>
        </w:rPr>
      </w:pPr>
    </w:p>
    <w:p w14:paraId="61118701" w14:textId="77777777" w:rsidR="00433F6F" w:rsidRDefault="00433F6F" w:rsidP="003865F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D3E"/>
    <w:multiLevelType w:val="hybridMultilevel"/>
    <w:tmpl w:val="A1C4899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29D3DAF"/>
    <w:multiLevelType w:val="hybridMultilevel"/>
    <w:tmpl w:val="4B1E1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022CC1"/>
    <w:multiLevelType w:val="hybridMultilevel"/>
    <w:tmpl w:val="2736D0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11CBE"/>
    <w:multiLevelType w:val="hybridMultilevel"/>
    <w:tmpl w:val="FA982670"/>
    <w:lvl w:ilvl="0" w:tplc="E5DCB0C4">
      <w:start w:val="4"/>
      <w:numFmt w:val="bullet"/>
      <w:lvlText w:val="-"/>
      <w:lvlJc w:val="left"/>
      <w:pPr>
        <w:ind w:left="786" w:hanging="360"/>
      </w:pPr>
      <w:rPr>
        <w:rFonts w:ascii="Cambria" w:eastAsiaTheme="minorEastAsia" w:hAnsi="Cambria" w:cstheme="minorBidi"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1FE259CD"/>
    <w:multiLevelType w:val="hybridMultilevel"/>
    <w:tmpl w:val="A38CA33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2C1A128C"/>
    <w:multiLevelType w:val="hybridMultilevel"/>
    <w:tmpl w:val="170CA3D2"/>
    <w:lvl w:ilvl="0" w:tplc="7D5E0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B3D82"/>
    <w:multiLevelType w:val="multilevel"/>
    <w:tmpl w:val="AF9EC406"/>
    <w:lvl w:ilvl="0">
      <w:start w:val="3"/>
      <w:numFmt w:val="decimal"/>
      <w:lvlText w:val="%1"/>
      <w:lvlJc w:val="left"/>
      <w:pPr>
        <w:ind w:left="360" w:hanging="360"/>
      </w:pPr>
      <w:rPr>
        <w:rFonts w:ascii="Calibri" w:hAnsi="Calibri" w:hint="default"/>
        <w:color w:val="000000"/>
        <w:sz w:val="22"/>
      </w:rPr>
    </w:lvl>
    <w:lvl w:ilvl="1">
      <w:start w:val="1"/>
      <w:numFmt w:val="decimal"/>
      <w:lvlText w:val="%1.%2"/>
      <w:lvlJc w:val="left"/>
      <w:pPr>
        <w:ind w:left="360" w:hanging="360"/>
      </w:pPr>
      <w:rPr>
        <w:rFonts w:ascii="Calibri" w:hAnsi="Calibri" w:hint="default"/>
        <w:color w:val="000000"/>
        <w:sz w:val="22"/>
      </w:rPr>
    </w:lvl>
    <w:lvl w:ilvl="2">
      <w:start w:val="1"/>
      <w:numFmt w:val="decimal"/>
      <w:lvlText w:val="%1.%2.%3"/>
      <w:lvlJc w:val="left"/>
      <w:pPr>
        <w:ind w:left="360" w:hanging="360"/>
      </w:pPr>
      <w:rPr>
        <w:rFonts w:ascii="Calibri" w:hAnsi="Calibri" w:hint="default"/>
        <w:color w:val="000000"/>
        <w:sz w:val="22"/>
      </w:rPr>
    </w:lvl>
    <w:lvl w:ilvl="3">
      <w:start w:val="1"/>
      <w:numFmt w:val="decimal"/>
      <w:lvlText w:val="%1.%2.%3.%4"/>
      <w:lvlJc w:val="left"/>
      <w:pPr>
        <w:ind w:left="720" w:hanging="720"/>
      </w:pPr>
      <w:rPr>
        <w:rFonts w:ascii="Calibri" w:hAnsi="Calibri" w:hint="default"/>
        <w:color w:val="000000"/>
        <w:sz w:val="22"/>
      </w:rPr>
    </w:lvl>
    <w:lvl w:ilvl="4">
      <w:start w:val="1"/>
      <w:numFmt w:val="decimal"/>
      <w:lvlText w:val="%1.%2.%3.%4.%5"/>
      <w:lvlJc w:val="left"/>
      <w:pPr>
        <w:ind w:left="720" w:hanging="720"/>
      </w:pPr>
      <w:rPr>
        <w:rFonts w:ascii="Calibri" w:hAnsi="Calibri" w:hint="default"/>
        <w:color w:val="000000"/>
        <w:sz w:val="22"/>
      </w:rPr>
    </w:lvl>
    <w:lvl w:ilvl="5">
      <w:start w:val="1"/>
      <w:numFmt w:val="decimal"/>
      <w:lvlText w:val="%1.%2.%3.%4.%5.%6"/>
      <w:lvlJc w:val="left"/>
      <w:pPr>
        <w:ind w:left="720" w:hanging="720"/>
      </w:pPr>
      <w:rPr>
        <w:rFonts w:ascii="Calibri" w:hAnsi="Calibri" w:hint="default"/>
        <w:color w:val="000000"/>
        <w:sz w:val="22"/>
      </w:rPr>
    </w:lvl>
    <w:lvl w:ilvl="6">
      <w:start w:val="1"/>
      <w:numFmt w:val="decimal"/>
      <w:lvlText w:val="%1.%2.%3.%4.%5.%6.%7"/>
      <w:lvlJc w:val="left"/>
      <w:pPr>
        <w:ind w:left="1080" w:hanging="1080"/>
      </w:pPr>
      <w:rPr>
        <w:rFonts w:ascii="Calibri" w:hAnsi="Calibri" w:hint="default"/>
        <w:color w:val="000000"/>
        <w:sz w:val="22"/>
      </w:rPr>
    </w:lvl>
    <w:lvl w:ilvl="7">
      <w:start w:val="1"/>
      <w:numFmt w:val="decimal"/>
      <w:lvlText w:val="%1.%2.%3.%4.%5.%6.%7.%8"/>
      <w:lvlJc w:val="left"/>
      <w:pPr>
        <w:ind w:left="1080" w:hanging="1080"/>
      </w:pPr>
      <w:rPr>
        <w:rFonts w:ascii="Calibri" w:hAnsi="Calibri" w:hint="default"/>
        <w:color w:val="000000"/>
        <w:sz w:val="22"/>
      </w:rPr>
    </w:lvl>
    <w:lvl w:ilvl="8">
      <w:start w:val="1"/>
      <w:numFmt w:val="decimal"/>
      <w:lvlText w:val="%1.%2.%3.%4.%5.%6.%7.%8.%9"/>
      <w:lvlJc w:val="left"/>
      <w:pPr>
        <w:ind w:left="1080" w:hanging="1080"/>
      </w:pPr>
      <w:rPr>
        <w:rFonts w:ascii="Calibri" w:hAnsi="Calibri" w:hint="default"/>
        <w:color w:val="000000"/>
        <w:sz w:val="22"/>
      </w:rPr>
    </w:lvl>
  </w:abstractNum>
  <w:abstractNum w:abstractNumId="7" w15:restartNumberingAfterBreak="0">
    <w:nsid w:val="34D62221"/>
    <w:multiLevelType w:val="hybridMultilevel"/>
    <w:tmpl w:val="E9DAED28"/>
    <w:lvl w:ilvl="0" w:tplc="C90ED168">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C5884"/>
    <w:multiLevelType w:val="multilevel"/>
    <w:tmpl w:val="FF8AEA1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40507915"/>
    <w:multiLevelType w:val="multilevel"/>
    <w:tmpl w:val="D9D454A0"/>
    <w:lvl w:ilvl="0">
      <w:start w:val="2"/>
      <w:numFmt w:val="decimal"/>
      <w:lvlText w:val="%1"/>
      <w:lvlJc w:val="left"/>
      <w:pPr>
        <w:ind w:left="360" w:hanging="360"/>
      </w:pPr>
      <w:rPr>
        <w:rFonts w:ascii="Cambria" w:hAnsi="Cambria" w:hint="default"/>
        <w:color w:val="000000"/>
        <w:sz w:val="22"/>
      </w:rPr>
    </w:lvl>
    <w:lvl w:ilvl="1">
      <w:start w:val="1"/>
      <w:numFmt w:val="decimal"/>
      <w:lvlText w:val="%1.%2"/>
      <w:lvlJc w:val="left"/>
      <w:pPr>
        <w:ind w:left="360" w:hanging="360"/>
      </w:pPr>
      <w:rPr>
        <w:rFonts w:ascii="Cambria" w:hAnsi="Cambria" w:hint="default"/>
        <w:color w:val="000000"/>
        <w:sz w:val="22"/>
      </w:rPr>
    </w:lvl>
    <w:lvl w:ilvl="2">
      <w:start w:val="1"/>
      <w:numFmt w:val="decimal"/>
      <w:lvlText w:val="%1.%2.%3"/>
      <w:lvlJc w:val="left"/>
      <w:pPr>
        <w:ind w:left="360" w:hanging="360"/>
      </w:pPr>
      <w:rPr>
        <w:rFonts w:ascii="Cambria" w:hAnsi="Cambria" w:hint="default"/>
        <w:color w:val="000000"/>
        <w:sz w:val="22"/>
      </w:rPr>
    </w:lvl>
    <w:lvl w:ilvl="3">
      <w:start w:val="1"/>
      <w:numFmt w:val="decimal"/>
      <w:lvlText w:val="%1.%2.%3.%4"/>
      <w:lvlJc w:val="left"/>
      <w:pPr>
        <w:ind w:left="720" w:hanging="720"/>
      </w:pPr>
      <w:rPr>
        <w:rFonts w:ascii="Cambria" w:hAnsi="Cambria" w:hint="default"/>
        <w:color w:val="000000"/>
        <w:sz w:val="22"/>
      </w:rPr>
    </w:lvl>
    <w:lvl w:ilvl="4">
      <w:start w:val="1"/>
      <w:numFmt w:val="decimal"/>
      <w:lvlText w:val="%1.%2.%3.%4.%5"/>
      <w:lvlJc w:val="left"/>
      <w:pPr>
        <w:ind w:left="720" w:hanging="720"/>
      </w:pPr>
      <w:rPr>
        <w:rFonts w:ascii="Cambria" w:hAnsi="Cambria" w:hint="default"/>
        <w:color w:val="000000"/>
        <w:sz w:val="22"/>
      </w:rPr>
    </w:lvl>
    <w:lvl w:ilvl="5">
      <w:start w:val="1"/>
      <w:numFmt w:val="decimal"/>
      <w:lvlText w:val="%1.%2.%3.%4.%5.%6"/>
      <w:lvlJc w:val="left"/>
      <w:pPr>
        <w:ind w:left="720" w:hanging="720"/>
      </w:pPr>
      <w:rPr>
        <w:rFonts w:ascii="Cambria" w:hAnsi="Cambria" w:hint="default"/>
        <w:color w:val="000000"/>
        <w:sz w:val="22"/>
      </w:rPr>
    </w:lvl>
    <w:lvl w:ilvl="6">
      <w:start w:val="1"/>
      <w:numFmt w:val="decimal"/>
      <w:lvlText w:val="%1.%2.%3.%4.%5.%6.%7"/>
      <w:lvlJc w:val="left"/>
      <w:pPr>
        <w:ind w:left="1080" w:hanging="1080"/>
      </w:pPr>
      <w:rPr>
        <w:rFonts w:ascii="Cambria" w:hAnsi="Cambria" w:hint="default"/>
        <w:color w:val="000000"/>
        <w:sz w:val="22"/>
      </w:rPr>
    </w:lvl>
    <w:lvl w:ilvl="7">
      <w:start w:val="1"/>
      <w:numFmt w:val="decimal"/>
      <w:lvlText w:val="%1.%2.%3.%4.%5.%6.%7.%8"/>
      <w:lvlJc w:val="left"/>
      <w:pPr>
        <w:ind w:left="1080" w:hanging="1080"/>
      </w:pPr>
      <w:rPr>
        <w:rFonts w:ascii="Cambria" w:hAnsi="Cambria" w:hint="default"/>
        <w:color w:val="000000"/>
        <w:sz w:val="22"/>
      </w:rPr>
    </w:lvl>
    <w:lvl w:ilvl="8">
      <w:start w:val="1"/>
      <w:numFmt w:val="decimal"/>
      <w:lvlText w:val="%1.%2.%3.%4.%5.%6.%7.%8.%9"/>
      <w:lvlJc w:val="left"/>
      <w:pPr>
        <w:ind w:left="1080" w:hanging="1080"/>
      </w:pPr>
      <w:rPr>
        <w:rFonts w:ascii="Cambria" w:hAnsi="Cambria" w:hint="default"/>
        <w:color w:val="000000"/>
        <w:sz w:val="22"/>
      </w:rPr>
    </w:lvl>
  </w:abstractNum>
  <w:abstractNum w:abstractNumId="10" w15:restartNumberingAfterBreak="0">
    <w:nsid w:val="4FA65AA9"/>
    <w:multiLevelType w:val="hybridMultilevel"/>
    <w:tmpl w:val="4016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D6CD6"/>
    <w:multiLevelType w:val="multilevel"/>
    <w:tmpl w:val="00728942"/>
    <w:lvl w:ilvl="0">
      <w:start w:val="1"/>
      <w:numFmt w:val="bullet"/>
      <w:pStyle w:val="ListBulletT"/>
      <w:lvlText w:val=""/>
      <w:lvlJc w:val="left"/>
      <w:pPr>
        <w:tabs>
          <w:tab w:val="num" w:pos="227"/>
        </w:tabs>
        <w:ind w:left="227" w:hanging="227"/>
      </w:pPr>
      <w:rPr>
        <w:rFonts w:ascii="Symbol" w:hAnsi="Symbol" w:hint="default"/>
      </w:rPr>
    </w:lvl>
    <w:lvl w:ilvl="1">
      <w:start w:val="1"/>
      <w:numFmt w:val="bullet"/>
      <w:lvlText w:val="o"/>
      <w:lvlJc w:val="left"/>
      <w:pPr>
        <w:tabs>
          <w:tab w:val="num" w:pos="454"/>
        </w:tabs>
        <w:ind w:left="454" w:hanging="227"/>
      </w:pPr>
      <w:rPr>
        <w:rFonts w:ascii="Courier New" w:hAnsi="Courier New" w:hint="default"/>
      </w:rPr>
    </w:lvl>
    <w:lvl w:ilvl="2">
      <w:start w:val="1"/>
      <w:numFmt w:val="bullet"/>
      <w:lvlText w:val=""/>
      <w:lvlJc w:val="left"/>
      <w:pPr>
        <w:tabs>
          <w:tab w:val="num" w:pos="680"/>
        </w:tabs>
        <w:ind w:left="681" w:hanging="227"/>
      </w:pPr>
      <w:rPr>
        <w:rFonts w:ascii="Wingdings" w:hAnsi="Wingdings" w:hint="default"/>
      </w:rPr>
    </w:lvl>
    <w:lvl w:ilvl="3">
      <w:start w:val="1"/>
      <w:numFmt w:val="bullet"/>
      <w:lvlText w:val=""/>
      <w:lvlJc w:val="left"/>
      <w:pPr>
        <w:tabs>
          <w:tab w:val="num" w:pos="907"/>
        </w:tabs>
        <w:ind w:left="908" w:hanging="227"/>
      </w:pPr>
      <w:rPr>
        <w:rFonts w:ascii="Symbol" w:hAnsi="Symbol" w:hint="default"/>
      </w:rPr>
    </w:lvl>
    <w:lvl w:ilvl="4">
      <w:start w:val="1"/>
      <w:numFmt w:val="bullet"/>
      <w:lvlText w:val="o"/>
      <w:lvlJc w:val="left"/>
      <w:pPr>
        <w:tabs>
          <w:tab w:val="num" w:pos="1134"/>
        </w:tabs>
        <w:ind w:left="1135" w:hanging="227"/>
      </w:pPr>
      <w:rPr>
        <w:rFonts w:ascii="Courier New" w:hAnsi="Courier New" w:hint="default"/>
      </w:rPr>
    </w:lvl>
    <w:lvl w:ilvl="5">
      <w:start w:val="1"/>
      <w:numFmt w:val="bullet"/>
      <w:lvlText w:val=""/>
      <w:lvlJc w:val="left"/>
      <w:pPr>
        <w:tabs>
          <w:tab w:val="num" w:pos="1361"/>
        </w:tabs>
        <w:ind w:left="1362" w:hanging="227"/>
      </w:pPr>
      <w:rPr>
        <w:rFonts w:ascii="Wingdings" w:hAnsi="Wingdings" w:hint="default"/>
      </w:rPr>
    </w:lvl>
    <w:lvl w:ilvl="6">
      <w:start w:val="1"/>
      <w:numFmt w:val="bullet"/>
      <w:lvlText w:val=""/>
      <w:lvlJc w:val="left"/>
      <w:pPr>
        <w:tabs>
          <w:tab w:val="num" w:pos="1588"/>
        </w:tabs>
        <w:ind w:left="1589" w:hanging="227"/>
      </w:pPr>
      <w:rPr>
        <w:rFonts w:ascii="Symbol" w:hAnsi="Symbol" w:hint="default"/>
      </w:rPr>
    </w:lvl>
    <w:lvl w:ilvl="7">
      <w:start w:val="1"/>
      <w:numFmt w:val="bullet"/>
      <w:lvlText w:val="o"/>
      <w:lvlJc w:val="left"/>
      <w:pPr>
        <w:tabs>
          <w:tab w:val="num" w:pos="2309"/>
        </w:tabs>
        <w:ind w:left="1816" w:hanging="227"/>
      </w:pPr>
      <w:rPr>
        <w:rFonts w:ascii="Courier New" w:hAnsi="Courier New" w:hint="default"/>
      </w:rPr>
    </w:lvl>
    <w:lvl w:ilvl="8">
      <w:start w:val="1"/>
      <w:numFmt w:val="bullet"/>
      <w:lvlText w:val=""/>
      <w:lvlJc w:val="left"/>
      <w:pPr>
        <w:tabs>
          <w:tab w:val="num" w:pos="2536"/>
        </w:tabs>
        <w:ind w:left="2043" w:hanging="227"/>
      </w:pPr>
      <w:rPr>
        <w:rFonts w:ascii="Wingdings" w:hAnsi="Wingdings" w:hint="default"/>
      </w:rPr>
    </w:lvl>
  </w:abstractNum>
  <w:abstractNum w:abstractNumId="12" w15:restartNumberingAfterBreak="0">
    <w:nsid w:val="5FFC09E4"/>
    <w:multiLevelType w:val="multilevel"/>
    <w:tmpl w:val="80FA58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614B3D02"/>
    <w:multiLevelType w:val="hybridMultilevel"/>
    <w:tmpl w:val="8F204F3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65B1718C"/>
    <w:multiLevelType w:val="multilevel"/>
    <w:tmpl w:val="8D08E23C"/>
    <w:lvl w:ilvl="0">
      <w:start w:val="3"/>
      <w:numFmt w:val="decimal"/>
      <w:lvlText w:val="%1"/>
      <w:lvlJc w:val="left"/>
      <w:pPr>
        <w:ind w:left="440" w:hanging="440"/>
      </w:pPr>
      <w:rPr>
        <w:rFonts w:ascii="Calibri" w:hAnsi="Calibri" w:hint="default"/>
        <w:color w:val="000000"/>
        <w:sz w:val="22"/>
      </w:rPr>
    </w:lvl>
    <w:lvl w:ilvl="1">
      <w:start w:val="1"/>
      <w:numFmt w:val="decimal"/>
      <w:lvlText w:val="%1.%2"/>
      <w:lvlJc w:val="left"/>
      <w:pPr>
        <w:ind w:left="440" w:hanging="440"/>
      </w:pPr>
      <w:rPr>
        <w:rFonts w:ascii="Calibri" w:hAnsi="Calibri" w:hint="default"/>
        <w:color w:val="000000"/>
        <w:sz w:val="22"/>
      </w:rPr>
    </w:lvl>
    <w:lvl w:ilvl="2">
      <w:start w:val="2"/>
      <w:numFmt w:val="decimal"/>
      <w:lvlText w:val="%1.%2.%3"/>
      <w:lvlJc w:val="left"/>
      <w:pPr>
        <w:ind w:left="440" w:hanging="440"/>
      </w:pPr>
      <w:rPr>
        <w:rFonts w:ascii="Calibri" w:hAnsi="Calibri" w:hint="default"/>
        <w:color w:val="000000"/>
        <w:sz w:val="22"/>
      </w:rPr>
    </w:lvl>
    <w:lvl w:ilvl="3">
      <w:start w:val="1"/>
      <w:numFmt w:val="decimal"/>
      <w:lvlText w:val="%1.%2.%3.%4"/>
      <w:lvlJc w:val="left"/>
      <w:pPr>
        <w:ind w:left="720" w:hanging="720"/>
      </w:pPr>
      <w:rPr>
        <w:rFonts w:ascii="Calibri" w:hAnsi="Calibri" w:hint="default"/>
        <w:color w:val="000000"/>
        <w:sz w:val="22"/>
      </w:rPr>
    </w:lvl>
    <w:lvl w:ilvl="4">
      <w:start w:val="1"/>
      <w:numFmt w:val="decimal"/>
      <w:lvlText w:val="%1.%2.%3.%4.%5"/>
      <w:lvlJc w:val="left"/>
      <w:pPr>
        <w:ind w:left="720" w:hanging="720"/>
      </w:pPr>
      <w:rPr>
        <w:rFonts w:ascii="Calibri" w:hAnsi="Calibri" w:hint="default"/>
        <w:color w:val="000000"/>
        <w:sz w:val="22"/>
      </w:rPr>
    </w:lvl>
    <w:lvl w:ilvl="5">
      <w:start w:val="1"/>
      <w:numFmt w:val="decimal"/>
      <w:lvlText w:val="%1.%2.%3.%4.%5.%6"/>
      <w:lvlJc w:val="left"/>
      <w:pPr>
        <w:ind w:left="720" w:hanging="720"/>
      </w:pPr>
      <w:rPr>
        <w:rFonts w:ascii="Calibri" w:hAnsi="Calibri" w:hint="default"/>
        <w:color w:val="000000"/>
        <w:sz w:val="22"/>
      </w:rPr>
    </w:lvl>
    <w:lvl w:ilvl="6">
      <w:start w:val="1"/>
      <w:numFmt w:val="decimal"/>
      <w:lvlText w:val="%1.%2.%3.%4.%5.%6.%7"/>
      <w:lvlJc w:val="left"/>
      <w:pPr>
        <w:ind w:left="1080" w:hanging="1080"/>
      </w:pPr>
      <w:rPr>
        <w:rFonts w:ascii="Calibri" w:hAnsi="Calibri" w:hint="default"/>
        <w:color w:val="000000"/>
        <w:sz w:val="22"/>
      </w:rPr>
    </w:lvl>
    <w:lvl w:ilvl="7">
      <w:start w:val="1"/>
      <w:numFmt w:val="decimal"/>
      <w:lvlText w:val="%1.%2.%3.%4.%5.%6.%7.%8"/>
      <w:lvlJc w:val="left"/>
      <w:pPr>
        <w:ind w:left="1080" w:hanging="1080"/>
      </w:pPr>
      <w:rPr>
        <w:rFonts w:ascii="Calibri" w:hAnsi="Calibri" w:hint="default"/>
        <w:color w:val="000000"/>
        <w:sz w:val="22"/>
      </w:rPr>
    </w:lvl>
    <w:lvl w:ilvl="8">
      <w:start w:val="1"/>
      <w:numFmt w:val="decimal"/>
      <w:lvlText w:val="%1.%2.%3.%4.%5.%6.%7.%8.%9"/>
      <w:lvlJc w:val="left"/>
      <w:pPr>
        <w:ind w:left="1080" w:hanging="1080"/>
      </w:pPr>
      <w:rPr>
        <w:rFonts w:ascii="Calibri" w:hAnsi="Calibri" w:hint="default"/>
        <w:color w:val="000000"/>
        <w:sz w:val="22"/>
      </w:rPr>
    </w:lvl>
  </w:abstractNum>
  <w:abstractNum w:abstractNumId="15" w15:restartNumberingAfterBreak="0">
    <w:nsid w:val="708F73EA"/>
    <w:multiLevelType w:val="hybridMultilevel"/>
    <w:tmpl w:val="5406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91296"/>
    <w:multiLevelType w:val="hybridMultilevel"/>
    <w:tmpl w:val="CDB8A9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6"/>
  </w:num>
  <w:num w:numId="2">
    <w:abstractNumId w:val="15"/>
  </w:num>
  <w:num w:numId="3">
    <w:abstractNumId w:val="10"/>
  </w:num>
  <w:num w:numId="4">
    <w:abstractNumId w:val="13"/>
  </w:num>
  <w:num w:numId="5">
    <w:abstractNumId w:val="1"/>
  </w:num>
  <w:num w:numId="6">
    <w:abstractNumId w:val="4"/>
  </w:num>
  <w:num w:numId="7">
    <w:abstractNumId w:val="5"/>
  </w:num>
  <w:num w:numId="8">
    <w:abstractNumId w:val="7"/>
  </w:num>
  <w:num w:numId="9">
    <w:abstractNumId w:val="2"/>
  </w:num>
  <w:num w:numId="10">
    <w:abstractNumId w:val="0"/>
  </w:num>
  <w:num w:numId="11">
    <w:abstractNumId w:val="3"/>
  </w:num>
  <w:num w:numId="12">
    <w:abstractNumId w:val="11"/>
  </w:num>
  <w:num w:numId="13">
    <w:abstractNumId w:val="8"/>
  </w:num>
  <w:num w:numId="14">
    <w:abstractNumId w:val="9"/>
  </w:num>
  <w:num w:numId="15">
    <w:abstractNumId w:val="6"/>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ysbQ0MDU1NLE0NDZX0lEKTi0uzszPAykwrgUAAOWlMywAAAA="/>
  </w:docVars>
  <w:rsids>
    <w:rsidRoot w:val="00D63D61"/>
    <w:rsid w:val="00016E20"/>
    <w:rsid w:val="0009116E"/>
    <w:rsid w:val="001D195E"/>
    <w:rsid w:val="00216098"/>
    <w:rsid w:val="00311C11"/>
    <w:rsid w:val="003865F4"/>
    <w:rsid w:val="003C2A0A"/>
    <w:rsid w:val="003D0975"/>
    <w:rsid w:val="003D4D18"/>
    <w:rsid w:val="003F6EBC"/>
    <w:rsid w:val="004164F8"/>
    <w:rsid w:val="00433F6F"/>
    <w:rsid w:val="00492036"/>
    <w:rsid w:val="00595AB8"/>
    <w:rsid w:val="006627FE"/>
    <w:rsid w:val="00722962"/>
    <w:rsid w:val="007F3017"/>
    <w:rsid w:val="00805AE9"/>
    <w:rsid w:val="0084320C"/>
    <w:rsid w:val="00853E29"/>
    <w:rsid w:val="00921347"/>
    <w:rsid w:val="00983241"/>
    <w:rsid w:val="00987D8D"/>
    <w:rsid w:val="00B411B5"/>
    <w:rsid w:val="00B73430"/>
    <w:rsid w:val="00BB3344"/>
    <w:rsid w:val="00BE3D1A"/>
    <w:rsid w:val="00D63D61"/>
    <w:rsid w:val="00D66935"/>
    <w:rsid w:val="00D809C8"/>
    <w:rsid w:val="00F335C5"/>
    <w:rsid w:val="00F65C50"/>
    <w:rsid w:val="00FC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94DF"/>
  <w15:chartTrackingRefBased/>
  <w15:docId w15:val="{1A6BFC93-47B1-4994-A44E-54EE1F9D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6098"/>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link w:val="ListParagraphChar"/>
    <w:uiPriority w:val="34"/>
    <w:qFormat/>
    <w:rsid w:val="00F65C50"/>
    <w:pPr>
      <w:ind w:left="720"/>
      <w:contextualSpacing/>
    </w:pPr>
  </w:style>
  <w:style w:type="paragraph" w:styleId="Caption">
    <w:name w:val="caption"/>
    <w:basedOn w:val="Normal"/>
    <w:next w:val="Normal"/>
    <w:uiPriority w:val="35"/>
    <w:unhideWhenUsed/>
    <w:qFormat/>
    <w:rsid w:val="00987D8D"/>
    <w:pPr>
      <w:spacing w:after="200" w:line="240" w:lineRule="auto"/>
    </w:pPr>
    <w:rPr>
      <w:i/>
      <w:iCs/>
      <w:color w:val="44546A" w:themeColor="text2"/>
      <w:sz w:val="18"/>
      <w:szCs w:val="18"/>
    </w:rPr>
  </w:style>
  <w:style w:type="paragraph" w:styleId="BodyText">
    <w:name w:val="Body Text"/>
    <w:basedOn w:val="Normal"/>
    <w:link w:val="BodyTextChar"/>
    <w:uiPriority w:val="99"/>
    <w:unhideWhenUsed/>
    <w:rsid w:val="00987D8D"/>
    <w:pPr>
      <w:spacing w:before="120" w:after="120"/>
      <w:ind w:firstLine="720"/>
      <w:jc w:val="both"/>
    </w:pPr>
    <w:rPr>
      <w:lang w:eastAsia="ja-JP"/>
    </w:rPr>
  </w:style>
  <w:style w:type="character" w:customStyle="1" w:styleId="BodyTextChar">
    <w:name w:val="Body Text Char"/>
    <w:basedOn w:val="DefaultParagraphFont"/>
    <w:link w:val="BodyText"/>
    <w:uiPriority w:val="99"/>
    <w:rsid w:val="00987D8D"/>
    <w:rPr>
      <w:lang w:eastAsia="ja-JP"/>
    </w:rPr>
  </w:style>
  <w:style w:type="table" w:styleId="TableGrid">
    <w:name w:val="Table Grid"/>
    <w:basedOn w:val="TableNormal"/>
    <w:uiPriority w:val="59"/>
    <w:rsid w:val="00805AE9"/>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F3017"/>
  </w:style>
  <w:style w:type="paragraph" w:customStyle="1" w:styleId="ListBulletT">
    <w:name w:val="List Bullet T"/>
    <w:basedOn w:val="Normal"/>
    <w:qFormat/>
    <w:rsid w:val="00722962"/>
    <w:pPr>
      <w:numPr>
        <w:numId w:val="12"/>
      </w:numPr>
      <w:spacing w:before="20" w:after="40" w:line="240" w:lineRule="auto"/>
    </w:pPr>
    <w:rPr>
      <w:rFonts w:eastAsia="Calibri" w:cs="Times New Roman"/>
      <w:kern w:val="20"/>
      <w:sz w:val="20"/>
      <w:lang w:eastAsia="ja-JP"/>
    </w:rPr>
  </w:style>
  <w:style w:type="table" w:customStyle="1" w:styleId="GridTable2-Accent51">
    <w:name w:val="Grid Table 2 - Accent 51"/>
    <w:basedOn w:val="TableNormal"/>
    <w:uiPriority w:val="47"/>
    <w:rsid w:val="0072296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MyAct">
    <w:name w:val="My Act"/>
    <w:basedOn w:val="Normal"/>
    <w:link w:val="MyActChar"/>
    <w:qFormat/>
    <w:rsid w:val="00722962"/>
    <w:pPr>
      <w:spacing w:after="0" w:line="240" w:lineRule="auto"/>
      <w:jc w:val="both"/>
    </w:pPr>
    <w:rPr>
      <w:rFonts w:ascii="Arial Narrow" w:hAnsi="Arial Narrow"/>
      <w:sz w:val="18"/>
    </w:rPr>
  </w:style>
  <w:style w:type="character" w:customStyle="1" w:styleId="MyActChar">
    <w:name w:val="My Act Char"/>
    <w:basedOn w:val="DefaultParagraphFont"/>
    <w:link w:val="MyAct"/>
    <w:rsid w:val="00722962"/>
    <w:rPr>
      <w:rFonts w:ascii="Arial Narrow" w:hAnsi="Arial Narrow"/>
      <w:sz w:val="18"/>
    </w:rPr>
  </w:style>
  <w:style w:type="paragraph" w:styleId="FootnoteText">
    <w:name w:val="footnote text"/>
    <w:aliases w:val="single space,footnote text,Footnote ak,FOOTNOTES,fn,Footnote Text1,Fodnotetekst Tegn,Fodnotetekst Tegn Char,footnote text Char Char Char,Fodnotetekst Tegn Char1,single space Char1,footnote text Char Char1,f,Geneva 9,Footnote,ADB"/>
    <w:basedOn w:val="Normal"/>
    <w:link w:val="FootnoteTextChar"/>
    <w:uiPriority w:val="99"/>
    <w:qFormat/>
    <w:rsid w:val="003865F4"/>
    <w:pPr>
      <w:spacing w:after="0" w:line="240" w:lineRule="auto"/>
    </w:pPr>
    <w:rPr>
      <w:rFonts w:ascii="Times New Roman" w:eastAsia="Times New Roman" w:hAnsi="Times New Roman" w:cs="Times New Roman"/>
      <w:sz w:val="20"/>
      <w:szCs w:val="20"/>
      <w:lang w:eastAsia="ja-JP"/>
    </w:rPr>
  </w:style>
  <w:style w:type="character" w:customStyle="1" w:styleId="FootnoteTextChar">
    <w:name w:val="Footnote Text Char"/>
    <w:aliases w:val="single space Char,footnote text Char,Footnote ak Char,FOOTNOTES Char,fn Char,Footnote Text1 Char,Fodnotetekst Tegn Char2,Fodnotetekst Tegn Char Char,footnote text Char Char Char Char,Fodnotetekst Tegn Char1 Char,f Char,Geneva 9 Char"/>
    <w:basedOn w:val="DefaultParagraphFont"/>
    <w:link w:val="FootnoteText"/>
    <w:uiPriority w:val="99"/>
    <w:rsid w:val="003865F4"/>
    <w:rPr>
      <w:rFonts w:ascii="Times New Roman" w:eastAsia="Times New Roman" w:hAnsi="Times New Roman" w:cs="Times New Roman"/>
      <w:sz w:val="20"/>
      <w:szCs w:val="20"/>
      <w:lang w:eastAsia="ja-JP"/>
    </w:rPr>
  </w:style>
  <w:style w:type="character" w:styleId="FootnoteReference">
    <w:name w:val="footnote reference"/>
    <w:aliases w:val="ftref"/>
    <w:uiPriority w:val="99"/>
    <w:rsid w:val="003865F4"/>
    <w:rPr>
      <w:vertAlign w:val="superscript"/>
    </w:rPr>
  </w:style>
  <w:style w:type="paragraph" w:styleId="Header">
    <w:name w:val="header"/>
    <w:basedOn w:val="Normal"/>
    <w:link w:val="HeaderChar"/>
    <w:uiPriority w:val="99"/>
    <w:unhideWhenUsed/>
    <w:rsid w:val="00386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5F4"/>
  </w:style>
  <w:style w:type="paragraph" w:styleId="Footer">
    <w:name w:val="footer"/>
    <w:basedOn w:val="Normal"/>
    <w:link w:val="FooterChar"/>
    <w:uiPriority w:val="99"/>
    <w:unhideWhenUsed/>
    <w:rsid w:val="00386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73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061588046175098E-2"/>
          <c:y val="0.11158573928259"/>
          <c:w val="0.728394163495522"/>
          <c:h val="0.56410104986876597"/>
        </c:manualLayout>
      </c:layout>
      <c:barChart>
        <c:barDir val="col"/>
        <c:grouping val="clustered"/>
        <c:varyColors val="0"/>
        <c:ser>
          <c:idx val="0"/>
          <c:order val="0"/>
          <c:tx>
            <c:strRef>
              <c:f>Sheet1!$G$12</c:f>
              <c:strCache>
                <c:ptCount val="1"/>
                <c:pt idx="0">
                  <c:v>Nasarawa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Sheet1!$H$11:$K$11</c:f>
              <c:numCache>
                <c:formatCode>General</c:formatCode>
                <c:ptCount val="4"/>
                <c:pt idx="0">
                  <c:v>2013</c:v>
                </c:pt>
                <c:pt idx="1">
                  <c:v>2014</c:v>
                </c:pt>
                <c:pt idx="2">
                  <c:v>2015</c:v>
                </c:pt>
                <c:pt idx="3">
                  <c:v>2016</c:v>
                </c:pt>
              </c:numCache>
            </c:numRef>
          </c:cat>
          <c:val>
            <c:numRef>
              <c:f>Sheet1!$H$12:$K$12</c:f>
              <c:numCache>
                <c:formatCode>0%</c:formatCode>
                <c:ptCount val="4"/>
                <c:pt idx="0">
                  <c:v>1.04</c:v>
                </c:pt>
                <c:pt idx="1">
                  <c:v>1.06</c:v>
                </c:pt>
                <c:pt idx="2">
                  <c:v>1.1900000000000019</c:v>
                </c:pt>
                <c:pt idx="3">
                  <c:v>1.28</c:v>
                </c:pt>
              </c:numCache>
            </c:numRef>
          </c:val>
          <c:extLst>
            <c:ext xmlns:c16="http://schemas.microsoft.com/office/drawing/2014/chart" uri="{C3380CC4-5D6E-409C-BE32-E72D297353CC}">
              <c16:uniqueId val="{00000000-49CE-4AB5-99BB-7C85672199CA}"/>
            </c:ext>
          </c:extLst>
        </c:ser>
        <c:ser>
          <c:idx val="1"/>
          <c:order val="1"/>
          <c:tx>
            <c:strRef>
              <c:f>Sheet1!$G$13</c:f>
              <c:strCache>
                <c:ptCount val="1"/>
                <c:pt idx="0">
                  <c:v>Niger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Sheet1!$H$11:$K$11</c:f>
              <c:numCache>
                <c:formatCode>General</c:formatCode>
                <c:ptCount val="4"/>
                <c:pt idx="0">
                  <c:v>2013</c:v>
                </c:pt>
                <c:pt idx="1">
                  <c:v>2014</c:v>
                </c:pt>
                <c:pt idx="2">
                  <c:v>2015</c:v>
                </c:pt>
                <c:pt idx="3">
                  <c:v>2016</c:v>
                </c:pt>
              </c:numCache>
            </c:numRef>
          </c:cat>
          <c:val>
            <c:numRef>
              <c:f>Sheet1!$H$13:$K$13</c:f>
              <c:numCache>
                <c:formatCode>0%</c:formatCode>
                <c:ptCount val="4"/>
                <c:pt idx="0">
                  <c:v>0.750000000000001</c:v>
                </c:pt>
                <c:pt idx="1">
                  <c:v>1.22</c:v>
                </c:pt>
                <c:pt idx="2">
                  <c:v>1.24</c:v>
                </c:pt>
                <c:pt idx="3">
                  <c:v>1.22</c:v>
                </c:pt>
              </c:numCache>
            </c:numRef>
          </c:val>
          <c:extLst>
            <c:ext xmlns:c16="http://schemas.microsoft.com/office/drawing/2014/chart" uri="{C3380CC4-5D6E-409C-BE32-E72D297353CC}">
              <c16:uniqueId val="{00000001-49CE-4AB5-99BB-7C85672199CA}"/>
            </c:ext>
          </c:extLst>
        </c:ser>
        <c:dLbls>
          <c:showLegendKey val="0"/>
          <c:showVal val="0"/>
          <c:showCatName val="0"/>
          <c:showSerName val="0"/>
          <c:showPercent val="0"/>
          <c:showBubbleSize val="0"/>
        </c:dLbls>
        <c:gapWidth val="150"/>
        <c:axId val="241601536"/>
        <c:axId val="241632000"/>
      </c:barChart>
      <c:catAx>
        <c:axId val="241601536"/>
        <c:scaling>
          <c:orientation val="minMax"/>
        </c:scaling>
        <c:delete val="0"/>
        <c:axPos val="b"/>
        <c:numFmt formatCode="General" sourceLinked="1"/>
        <c:majorTickMark val="out"/>
        <c:minorTickMark val="none"/>
        <c:tickLblPos val="nextTo"/>
        <c:crossAx val="241632000"/>
        <c:crosses val="autoZero"/>
        <c:auto val="1"/>
        <c:lblAlgn val="ctr"/>
        <c:lblOffset val="100"/>
        <c:noMultiLvlLbl val="0"/>
      </c:catAx>
      <c:valAx>
        <c:axId val="241632000"/>
        <c:scaling>
          <c:orientation val="minMax"/>
        </c:scaling>
        <c:delete val="1"/>
        <c:axPos val="l"/>
        <c:numFmt formatCode="0%" sourceLinked="1"/>
        <c:majorTickMark val="out"/>
        <c:minorTickMark val="none"/>
        <c:tickLblPos val="nextTo"/>
        <c:crossAx val="241601536"/>
        <c:crosses val="autoZero"/>
        <c:crossBetween val="between"/>
      </c:valAx>
    </c:plotArea>
    <c:legend>
      <c:legendPos val="r"/>
      <c:layout>
        <c:manualLayout>
          <c:xMode val="edge"/>
          <c:yMode val="edge"/>
          <c:x val="7.9747584743396702E-2"/>
          <c:y val="0.82369021580635804"/>
          <c:w val="0.67101229367605697"/>
          <c:h val="0.116508457276174"/>
        </c:manualLayout>
      </c:layout>
      <c:overlay val="0"/>
    </c:legend>
    <c:plotVisOnly val="1"/>
    <c:dispBlanksAs val="gap"/>
    <c:showDLblsOverMax val="0"/>
  </c:chart>
  <c:txPr>
    <a:bodyPr/>
    <a:lstStyle/>
    <a:p>
      <a:pPr>
        <a:defRPr sz="800"/>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846650316251454"/>
          <c:y val="0.11232011232011233"/>
          <c:w val="0.67830354557474737"/>
          <c:h val="0.61236792575375254"/>
        </c:manualLayout>
      </c:layout>
      <c:barChart>
        <c:barDir val="col"/>
        <c:grouping val="clustered"/>
        <c:varyColors val="0"/>
        <c:ser>
          <c:idx val="0"/>
          <c:order val="0"/>
          <c:tx>
            <c:strRef>
              <c:f>Sheet1!$G$16</c:f>
              <c:strCache>
                <c:ptCount val="1"/>
                <c:pt idx="0">
                  <c:v>% Drop-out rate (DPT1 - DPT3)</c:v>
                </c:pt>
              </c:strCache>
            </c:strRef>
          </c:tx>
          <c:invertIfNegative val="0"/>
          <c:cat>
            <c:numRef>
              <c:f>Sheet1!$H$15:$M$15</c:f>
              <c:numCache>
                <c:formatCode>General</c:formatCode>
                <c:ptCount val="6"/>
                <c:pt idx="0">
                  <c:v>2010</c:v>
                </c:pt>
                <c:pt idx="1">
                  <c:v>2011</c:v>
                </c:pt>
                <c:pt idx="2">
                  <c:v>2012</c:v>
                </c:pt>
                <c:pt idx="3">
                  <c:v>2013</c:v>
                </c:pt>
                <c:pt idx="4">
                  <c:v>2014</c:v>
                </c:pt>
                <c:pt idx="5">
                  <c:v>2015</c:v>
                </c:pt>
              </c:numCache>
            </c:numRef>
          </c:cat>
          <c:val>
            <c:numRef>
              <c:f>Sheet1!$H$16:$M$16</c:f>
              <c:numCache>
                <c:formatCode>0.0%</c:formatCode>
                <c:ptCount val="6"/>
                <c:pt idx="0">
                  <c:v>0.11899999999999999</c:v>
                </c:pt>
                <c:pt idx="1">
                  <c:v>0.10199999999999999</c:v>
                </c:pt>
                <c:pt idx="2">
                  <c:v>0.14899999999999999</c:v>
                </c:pt>
                <c:pt idx="3">
                  <c:v>0.1</c:v>
                </c:pt>
                <c:pt idx="4">
                  <c:v>0.1</c:v>
                </c:pt>
                <c:pt idx="5">
                  <c:v>7.3999999999999996E-2</c:v>
                </c:pt>
              </c:numCache>
            </c:numRef>
          </c:val>
          <c:extLst>
            <c:ext xmlns:c16="http://schemas.microsoft.com/office/drawing/2014/chart" uri="{C3380CC4-5D6E-409C-BE32-E72D297353CC}">
              <c16:uniqueId val="{00000000-CDE2-489B-AE98-1A86B98A7D86}"/>
            </c:ext>
          </c:extLst>
        </c:ser>
        <c:ser>
          <c:idx val="1"/>
          <c:order val="1"/>
          <c:tx>
            <c:strRef>
              <c:f>Sheet1!$G$17</c:f>
              <c:strCache>
                <c:ptCount val="1"/>
                <c:pt idx="0">
                  <c:v>% Drop-out rate (BCG - Measles)</c:v>
                </c:pt>
              </c:strCache>
            </c:strRef>
          </c:tx>
          <c:invertIfNegative val="0"/>
          <c:cat>
            <c:numRef>
              <c:f>Sheet1!$H$15:$M$15</c:f>
              <c:numCache>
                <c:formatCode>General</c:formatCode>
                <c:ptCount val="6"/>
                <c:pt idx="0">
                  <c:v>2010</c:v>
                </c:pt>
                <c:pt idx="1">
                  <c:v>2011</c:v>
                </c:pt>
                <c:pt idx="2">
                  <c:v>2012</c:v>
                </c:pt>
                <c:pt idx="3">
                  <c:v>2013</c:v>
                </c:pt>
                <c:pt idx="4">
                  <c:v>2014</c:v>
                </c:pt>
                <c:pt idx="5">
                  <c:v>2015</c:v>
                </c:pt>
              </c:numCache>
            </c:numRef>
          </c:cat>
          <c:val>
            <c:numRef>
              <c:f>Sheet1!$H$17:$M$17</c:f>
              <c:numCache>
                <c:formatCode>0.0%</c:formatCode>
                <c:ptCount val="6"/>
                <c:pt idx="0">
                  <c:v>-0.12</c:v>
                </c:pt>
                <c:pt idx="1">
                  <c:v>-0.55000000000000004</c:v>
                </c:pt>
                <c:pt idx="2">
                  <c:v>-0.10299999999999999</c:v>
                </c:pt>
                <c:pt idx="3">
                  <c:v>-6.4000000000000098E-2</c:v>
                </c:pt>
                <c:pt idx="4">
                  <c:v>-0.04</c:v>
                </c:pt>
                <c:pt idx="5">
                  <c:v>-0.01</c:v>
                </c:pt>
              </c:numCache>
            </c:numRef>
          </c:val>
          <c:extLst>
            <c:ext xmlns:c16="http://schemas.microsoft.com/office/drawing/2014/chart" uri="{C3380CC4-5D6E-409C-BE32-E72D297353CC}">
              <c16:uniqueId val="{00000001-CDE2-489B-AE98-1A86B98A7D86}"/>
            </c:ext>
          </c:extLst>
        </c:ser>
        <c:dLbls>
          <c:showLegendKey val="0"/>
          <c:showVal val="0"/>
          <c:showCatName val="0"/>
          <c:showSerName val="0"/>
          <c:showPercent val="0"/>
          <c:showBubbleSize val="0"/>
        </c:dLbls>
        <c:gapWidth val="150"/>
        <c:axId val="241645440"/>
        <c:axId val="241646976"/>
      </c:barChart>
      <c:catAx>
        <c:axId val="241645440"/>
        <c:scaling>
          <c:orientation val="minMax"/>
        </c:scaling>
        <c:delete val="0"/>
        <c:axPos val="b"/>
        <c:numFmt formatCode="General" sourceLinked="1"/>
        <c:majorTickMark val="none"/>
        <c:minorTickMark val="none"/>
        <c:tickLblPos val="nextTo"/>
        <c:crossAx val="241646976"/>
        <c:crosses val="autoZero"/>
        <c:auto val="1"/>
        <c:lblAlgn val="ctr"/>
        <c:lblOffset val="100"/>
        <c:noMultiLvlLbl val="0"/>
      </c:catAx>
      <c:valAx>
        <c:axId val="241646976"/>
        <c:scaling>
          <c:orientation val="minMax"/>
        </c:scaling>
        <c:delete val="0"/>
        <c:axPos val="l"/>
        <c:majorGridlines/>
        <c:numFmt formatCode="0.0%" sourceLinked="1"/>
        <c:majorTickMark val="none"/>
        <c:minorTickMark val="none"/>
        <c:tickLblPos val="nextTo"/>
        <c:txPr>
          <a:bodyPr/>
          <a:lstStyle/>
          <a:p>
            <a:pPr>
              <a:defRPr sz="800"/>
            </a:pPr>
            <a:endParaRPr lang="en-US"/>
          </a:p>
        </c:txPr>
        <c:crossAx val="241645440"/>
        <c:crosses val="autoZero"/>
        <c:crossBetween val="between"/>
      </c:valAx>
      <c:dTable>
        <c:showHorzBorder val="1"/>
        <c:showVertBorder val="1"/>
        <c:showOutline val="1"/>
        <c:showKeys val="1"/>
        <c:txPr>
          <a:bodyPr/>
          <a:lstStyle/>
          <a:p>
            <a:pPr rtl="0">
              <a:defRPr sz="800"/>
            </a:pPr>
            <a:endParaRPr lang="en-US"/>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Sheet1!$B$20</c:f>
              <c:strCache>
                <c:ptCount val="1"/>
                <c:pt idx="0">
                  <c:v>Admin coverage</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Sheet1!$C$19:$E$19</c:f>
              <c:numCache>
                <c:formatCode>General</c:formatCode>
                <c:ptCount val="3"/>
                <c:pt idx="0">
                  <c:v>2013</c:v>
                </c:pt>
                <c:pt idx="1">
                  <c:v>2014</c:v>
                </c:pt>
                <c:pt idx="2">
                  <c:v>2015</c:v>
                </c:pt>
              </c:numCache>
            </c:numRef>
          </c:cat>
          <c:val>
            <c:numRef>
              <c:f>Sheet1!$C$20:$E$20</c:f>
              <c:numCache>
                <c:formatCode>General</c:formatCode>
                <c:ptCount val="3"/>
                <c:pt idx="0">
                  <c:v>84</c:v>
                </c:pt>
                <c:pt idx="1">
                  <c:v>96</c:v>
                </c:pt>
                <c:pt idx="2">
                  <c:v>99</c:v>
                </c:pt>
              </c:numCache>
            </c:numRef>
          </c:val>
          <c:extLst>
            <c:ext xmlns:c16="http://schemas.microsoft.com/office/drawing/2014/chart" uri="{C3380CC4-5D6E-409C-BE32-E72D297353CC}">
              <c16:uniqueId val="{00000000-1535-4BCD-8E44-7D09BD071764}"/>
            </c:ext>
          </c:extLst>
        </c:ser>
        <c:ser>
          <c:idx val="1"/>
          <c:order val="1"/>
          <c:tx>
            <c:strRef>
              <c:f>Sheet1!$B$21</c:f>
              <c:strCache>
                <c:ptCount val="1"/>
                <c:pt idx="0">
                  <c:v>Official coverage</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Sheet1!$C$19:$E$19</c:f>
              <c:numCache>
                <c:formatCode>General</c:formatCode>
                <c:ptCount val="3"/>
                <c:pt idx="0">
                  <c:v>2013</c:v>
                </c:pt>
                <c:pt idx="1">
                  <c:v>2014</c:v>
                </c:pt>
                <c:pt idx="2">
                  <c:v>2015</c:v>
                </c:pt>
              </c:numCache>
            </c:numRef>
          </c:cat>
          <c:val>
            <c:numRef>
              <c:f>Sheet1!$C$21:$E$21</c:f>
              <c:numCache>
                <c:formatCode>General</c:formatCode>
                <c:ptCount val="3"/>
                <c:pt idx="0">
                  <c:v>65</c:v>
                </c:pt>
                <c:pt idx="1">
                  <c:v>70</c:v>
                </c:pt>
                <c:pt idx="2">
                  <c:v>74</c:v>
                </c:pt>
              </c:numCache>
            </c:numRef>
          </c:val>
          <c:extLst>
            <c:ext xmlns:c16="http://schemas.microsoft.com/office/drawing/2014/chart" uri="{C3380CC4-5D6E-409C-BE32-E72D297353CC}">
              <c16:uniqueId val="{00000001-1535-4BCD-8E44-7D09BD071764}"/>
            </c:ext>
          </c:extLst>
        </c:ser>
        <c:ser>
          <c:idx val="2"/>
          <c:order val="2"/>
          <c:tx>
            <c:strRef>
              <c:f>Sheet1!$B$22</c:f>
              <c:strCache>
                <c:ptCount val="1"/>
                <c:pt idx="0">
                  <c:v>WUNEIC coverage</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Sheet1!$C$19:$E$19</c:f>
              <c:numCache>
                <c:formatCode>General</c:formatCode>
                <c:ptCount val="3"/>
                <c:pt idx="0">
                  <c:v>2013</c:v>
                </c:pt>
                <c:pt idx="1">
                  <c:v>2014</c:v>
                </c:pt>
                <c:pt idx="2">
                  <c:v>2015</c:v>
                </c:pt>
              </c:numCache>
            </c:numRef>
          </c:cat>
          <c:val>
            <c:numRef>
              <c:f>Sheet1!$C$22:$E$22</c:f>
              <c:numCache>
                <c:formatCode>General</c:formatCode>
                <c:ptCount val="3"/>
                <c:pt idx="0">
                  <c:v>46</c:v>
                </c:pt>
                <c:pt idx="1">
                  <c:v>49</c:v>
                </c:pt>
                <c:pt idx="2">
                  <c:v>58</c:v>
                </c:pt>
              </c:numCache>
            </c:numRef>
          </c:val>
          <c:extLst>
            <c:ext xmlns:c16="http://schemas.microsoft.com/office/drawing/2014/chart" uri="{C3380CC4-5D6E-409C-BE32-E72D297353CC}">
              <c16:uniqueId val="{00000002-1535-4BCD-8E44-7D09BD071764}"/>
            </c:ext>
          </c:extLst>
        </c:ser>
        <c:dLbls>
          <c:showLegendKey val="0"/>
          <c:showVal val="1"/>
          <c:showCatName val="0"/>
          <c:showSerName val="0"/>
          <c:showPercent val="0"/>
          <c:showBubbleSize val="0"/>
        </c:dLbls>
        <c:gapWidth val="75"/>
        <c:axId val="241298816"/>
        <c:axId val="241566848"/>
      </c:barChart>
      <c:catAx>
        <c:axId val="241298816"/>
        <c:scaling>
          <c:orientation val="minMax"/>
        </c:scaling>
        <c:delete val="0"/>
        <c:axPos val="b"/>
        <c:numFmt formatCode="General" sourceLinked="1"/>
        <c:majorTickMark val="none"/>
        <c:minorTickMark val="none"/>
        <c:tickLblPos val="nextTo"/>
        <c:crossAx val="241566848"/>
        <c:crosses val="autoZero"/>
        <c:auto val="1"/>
        <c:lblAlgn val="ctr"/>
        <c:lblOffset val="100"/>
        <c:noMultiLvlLbl val="0"/>
      </c:catAx>
      <c:valAx>
        <c:axId val="241566848"/>
        <c:scaling>
          <c:orientation val="minMax"/>
        </c:scaling>
        <c:delete val="0"/>
        <c:axPos val="l"/>
        <c:numFmt formatCode="General" sourceLinked="1"/>
        <c:majorTickMark val="none"/>
        <c:minorTickMark val="none"/>
        <c:tickLblPos val="nextTo"/>
        <c:txPr>
          <a:bodyPr/>
          <a:lstStyle/>
          <a:p>
            <a:pPr>
              <a:defRPr sz="900"/>
            </a:pPr>
            <a:endParaRPr lang="en-US"/>
          </a:p>
        </c:txPr>
        <c:crossAx val="241298816"/>
        <c:crosses val="autoZero"/>
        <c:crossBetween val="between"/>
      </c:valAx>
    </c:plotArea>
    <c:legend>
      <c:legendPos val="b"/>
      <c:overlay val="0"/>
      <c:txPr>
        <a:bodyPr/>
        <a:lstStyle/>
        <a:p>
          <a:pPr>
            <a:defRPr sz="9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Sheet1!$C$3:$C$5</c:f>
              <c:strCache>
                <c:ptCount val="3"/>
                <c:pt idx="0">
                  <c:v>DVD-MT 2014</c:v>
                </c:pt>
                <c:pt idx="1">
                  <c:v>DHIS 2014</c:v>
                </c:pt>
                <c:pt idx="2">
                  <c:v>SMART 2015 (2014 Birth cohort)</c:v>
                </c:pt>
              </c:strCache>
            </c:strRef>
          </c:cat>
          <c:val>
            <c:numRef>
              <c:f>Sheet1!$D$3:$D$5</c:f>
              <c:numCache>
                <c:formatCode>General</c:formatCode>
                <c:ptCount val="3"/>
                <c:pt idx="0">
                  <c:v>96</c:v>
                </c:pt>
                <c:pt idx="1">
                  <c:v>56</c:v>
                </c:pt>
                <c:pt idx="2">
                  <c:v>49</c:v>
                </c:pt>
              </c:numCache>
            </c:numRef>
          </c:val>
          <c:extLst>
            <c:ext xmlns:c16="http://schemas.microsoft.com/office/drawing/2014/chart" uri="{C3380CC4-5D6E-409C-BE32-E72D297353CC}">
              <c16:uniqueId val="{00000000-44AC-475F-80AC-C990408A971D}"/>
            </c:ext>
          </c:extLst>
        </c:ser>
        <c:dLbls>
          <c:showLegendKey val="0"/>
          <c:showVal val="1"/>
          <c:showCatName val="0"/>
          <c:showSerName val="0"/>
          <c:showPercent val="0"/>
          <c:showBubbleSize val="0"/>
        </c:dLbls>
        <c:gapWidth val="75"/>
        <c:axId val="241581440"/>
        <c:axId val="241588480"/>
      </c:barChart>
      <c:catAx>
        <c:axId val="241581440"/>
        <c:scaling>
          <c:orientation val="minMax"/>
        </c:scaling>
        <c:delete val="0"/>
        <c:axPos val="b"/>
        <c:numFmt formatCode="General" sourceLinked="0"/>
        <c:majorTickMark val="none"/>
        <c:minorTickMark val="none"/>
        <c:tickLblPos val="nextTo"/>
        <c:txPr>
          <a:bodyPr/>
          <a:lstStyle/>
          <a:p>
            <a:pPr>
              <a:defRPr sz="900"/>
            </a:pPr>
            <a:endParaRPr lang="en-US"/>
          </a:p>
        </c:txPr>
        <c:crossAx val="241588480"/>
        <c:crosses val="autoZero"/>
        <c:auto val="1"/>
        <c:lblAlgn val="ctr"/>
        <c:lblOffset val="100"/>
        <c:noMultiLvlLbl val="0"/>
      </c:catAx>
      <c:valAx>
        <c:axId val="241588480"/>
        <c:scaling>
          <c:orientation val="minMax"/>
        </c:scaling>
        <c:delete val="0"/>
        <c:axPos val="l"/>
        <c:numFmt formatCode="General" sourceLinked="1"/>
        <c:majorTickMark val="none"/>
        <c:minorTickMark val="none"/>
        <c:tickLblPos val="nextTo"/>
        <c:txPr>
          <a:bodyPr/>
          <a:lstStyle/>
          <a:p>
            <a:pPr>
              <a:defRPr sz="800"/>
            </a:pPr>
            <a:endParaRPr lang="en-US"/>
          </a:p>
        </c:txPr>
        <c:crossAx val="241581440"/>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0.09726</cdr:x>
      <cdr:y>0.27604</cdr:y>
    </cdr:from>
    <cdr:to>
      <cdr:x>0.80851</cdr:x>
      <cdr:y>0.27604</cdr:y>
    </cdr:to>
    <cdr:cxnSp macro="">
      <cdr:nvCxnSpPr>
        <cdr:cNvPr id="3" name="Straight Arrow Connector 2"/>
        <cdr:cNvCxnSpPr/>
      </cdr:nvCxnSpPr>
      <cdr:spPr>
        <a:xfrm xmlns:a="http://schemas.openxmlformats.org/drawingml/2006/main">
          <a:off x="609600" y="757238"/>
          <a:ext cx="4457700" cy="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0.81013</cdr:x>
      <cdr:y>0.2275</cdr:y>
    </cdr:from>
    <cdr:to>
      <cdr:x>0.8922</cdr:x>
      <cdr:y>0.33513</cdr:y>
    </cdr:to>
    <cdr:sp macro="" textlink="">
      <cdr:nvSpPr>
        <cdr:cNvPr id="5" name="TextBox 4"/>
        <cdr:cNvSpPr txBox="1"/>
      </cdr:nvSpPr>
      <cdr:spPr>
        <a:xfrm xmlns:a="http://schemas.openxmlformats.org/drawingml/2006/main">
          <a:off x="4642772" y="570631"/>
          <a:ext cx="470333" cy="26996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100%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651</TotalTime>
  <Pages>14</Pages>
  <Words>3968</Words>
  <Characters>22620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GBENGA A</dc:creator>
  <cp:keywords/>
  <dc:description/>
  <cp:lastModifiedBy>GBENGA A</cp:lastModifiedBy>
  <cp:revision>20</cp:revision>
  <dcterms:created xsi:type="dcterms:W3CDTF">2019-10-19T17:06:00Z</dcterms:created>
  <dcterms:modified xsi:type="dcterms:W3CDTF">2019-10-25T05:34:00Z</dcterms:modified>
</cp:coreProperties>
</file>